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76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АНАЛИТИЧЕСКАЯ СПРАВКА</w:t>
      </w:r>
    </w:p>
    <w:p w14:paraId="02000000">
      <w:pPr>
        <w:widowControl w:val="1"/>
        <w:spacing w:line="276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результатах деятельности дошкольных образовательных организаций</w:t>
      </w:r>
    </w:p>
    <w:p w14:paraId="03000000">
      <w:pPr>
        <w:widowControl w:val="1"/>
        <w:spacing w:line="276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Пермского муниципального округа</w:t>
      </w:r>
    </w:p>
    <w:p w14:paraId="04000000">
      <w:pPr>
        <w:widowControl w:val="1"/>
        <w:spacing w:line="276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 2025–2026 учебный год и перспективах на 2026–2027 учебный год</w:t>
      </w:r>
    </w:p>
    <w:p w14:paraId="05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</w:p>
    <w:p w14:paraId="06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 Общая характеристика сети дошкольного образования</w:t>
      </w:r>
    </w:p>
    <w:p w14:paraId="07000000">
      <w:pPr>
        <w:widowControl w:val="1"/>
        <w:spacing w:line="276" w:lineRule="auto"/>
        <w:ind w:firstLine="850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t>В 2025–2026 учебном году сеть дошкольных образовательных организаций (ДОО) Пермского муниципального округа включает 24 учреждения с общим контингентом воспитанников, составляющим 9 075</w:t>
      </w:r>
      <w:r>
        <w:rPr>
          <w:rFonts w:ascii="Times New Roman" w:hAnsi="Times New Roman"/>
          <w:sz w:val="28"/>
        </w:rPr>
        <w:t xml:space="preserve"> человек. Режим работы детских садов – 12-часовой, 5-дневный. </w:t>
      </w:r>
      <w:r>
        <w:rPr>
          <w:rFonts w:ascii="Times New Roman" w:hAnsi="Times New Roman"/>
          <w:i w:val="1"/>
        </w:rPr>
        <w:t>В аналитике результатов работы данные представлены без учета МАДОУ «Кондратовский детский сад «Мыслители», который включен только в общую численность учреждений (24) и общий контингент воспитанников (9 075 человек), но далее в анализе и оценке качества образовательных результатов его отдельные показатели не рассматриваются.</w:t>
      </w:r>
    </w:p>
    <w:p w14:paraId="08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Динамика контингента детей отмечает положительный рост охвата в возрастной группе от 1,5 до 3 лет (+114 человек). Вместе с тем, общая численность воспитанников снизилась на 110 человек по сравнению с 2024 годом, что связано с демографическими тенденциями — снижением рождаемости на ряде территорий округа (с. Бершеть, с. Платошино, с. Лобаново, п. Мулянка, с. Ляды, с. Усть-Качка, с. Гамово).</w:t>
      </w:r>
    </w:p>
    <w:p w14:paraId="09000000">
      <w:pPr>
        <w:widowControl w:val="1"/>
        <w:spacing w:line="276" w:lineRule="auto"/>
        <w:ind w:firstLine="85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</w:rPr>
        <w:t>Прогноз на следующий учебный год:</w:t>
      </w:r>
      <w:r>
        <w:rPr>
          <w:rFonts w:ascii="Times New Roman" w:hAnsi="Times New Roman"/>
          <w:b w:val="0"/>
        </w:rPr>
        <w:t xml:space="preserve"> Ожидается рост контингента до </w:t>
      </w:r>
      <w:r>
        <w:rPr>
          <w:rFonts w:ascii="Times New Roman" w:hAnsi="Times New Roman"/>
          <w:b w:val="0"/>
        </w:rPr>
        <w:t>9897 человек</w:t>
      </w:r>
      <w:r>
        <w:rPr>
          <w:rFonts w:ascii="Times New Roman" w:hAnsi="Times New Roman"/>
          <w:b w:val="0"/>
        </w:rPr>
        <w:t xml:space="preserve">, при этом доля детей раннего возраста (от 1,5 до 3 лет) составит </w:t>
      </w:r>
      <w:r>
        <w:rPr>
          <w:rFonts w:ascii="Times New Roman" w:hAnsi="Times New Roman"/>
          <w:b w:val="0"/>
        </w:rPr>
        <w:t>1690 человек</w:t>
      </w:r>
      <w:r>
        <w:rPr>
          <w:rFonts w:ascii="Times New Roman" w:hAnsi="Times New Roman"/>
          <w:b w:val="0"/>
        </w:rPr>
        <w:t xml:space="preserve"> (рост к текущему показателю +330 чел.).</w:t>
      </w:r>
    </w:p>
    <w:p w14:paraId="0A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2. Доступность дошкольных мест и инфраструктурная ситуация</w:t>
      </w:r>
    </w:p>
    <w:p w14:paraId="0B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сегодняшний день сохраняется острая нехватка мест в дошкольных учреждениях д. Кондратово и с. Култаево, при наличии свободных мест на других территориях округа.</w:t>
      </w:r>
    </w:p>
    <w:p w14:paraId="0C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состоянию на 1 июня 2026 года очередь в детские сады составила 3 879 человек, что на 41% превышает показатель аналогичной даты 2025 года, что свидетельствует о высокой остроте социальной проблемы.</w:t>
      </w:r>
    </w:p>
    <w:p w14:paraId="0D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решения проблемы запланирован комплекс мероприятий по строительству новых дошкольных учреждений:</w:t>
      </w:r>
    </w:p>
    <w:p w14:paraId="0E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Строительство детского сада на 350 мест в д. Большая Мось (планируемая сдача – 2026 г.);</w:t>
      </w:r>
    </w:p>
    <w:p w14:paraId="0F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Строительство детского сада на 240 мест в дер. Петровка (2026–2027 гг.);</w:t>
      </w:r>
    </w:p>
    <w:p w14:paraId="10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Строительство детского сада на 350 мест в д. Кондратово (2026–2027 гг.);</w:t>
      </w:r>
    </w:p>
    <w:p w14:paraId="11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Строительство детского сада на 450 мест в д. Кондратово (2028–2030 гг.);</w:t>
      </w:r>
    </w:p>
    <w:p w14:paraId="12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рамках комплексного развития территории д. Кондратово строительными компаниями планируется возведение двух детских садов вместимостью 450 и 166 мест (срок реализации – до 2030 г.).</w:t>
      </w:r>
    </w:p>
    <w:p w14:paraId="13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в 2025–2026 учебном году были реализованы важные мероприятия по увеличению доступности дошкольного образования в                  д. Кондратово:</w:t>
      </w:r>
    </w:p>
    <w:p w14:paraId="14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январе 2026 года открыт корпус МАДОУ «Кондратовский детский сад «Акварельки» (44 места) для детей с ограниченными возможностями здоровья (ОВЗ), в рамках соглашения с АО «СтройПанельКомплект»;</w:t>
      </w:r>
    </w:p>
    <w:p w14:paraId="15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 апреля 2026 года состоялось открытие МАДОУ «Кондратовский детский сад «Мыслители» с проектной мощностью на 450 мест;</w:t>
      </w:r>
    </w:p>
    <w:p w14:paraId="16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октябре 2025 года открыт корпус № 2 МАДОУ «Савинский детский сад «Мечтатели» в с. Башкултаево (30а ул. Мавлютова).</w:t>
      </w:r>
    </w:p>
    <w:p w14:paraId="17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3. Анализ качества освоения основной образовательной программы дошкольного образования (ОП ДО)</w:t>
      </w:r>
    </w:p>
    <w:p w14:paraId="18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Мониторинг освоения основной образовательной программы дошкольного образования (ОП ДО) демонстрирует отрицательную динамику:</w:t>
      </w:r>
    </w:p>
    <w:p w14:paraId="19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</w:p>
    <w:tbl>
      <w:tblPr>
        <w:tblW w:type="auto" w:w="0"/>
        <w:tblLayout w:type="fixed"/>
      </w:tblPr>
      <w:tblGrid>
        <w:gridCol w:w="2699"/>
        <w:gridCol w:w="3765"/>
        <w:gridCol w:w="3401"/>
      </w:tblGrid>
      <w:tr>
        <w:tc>
          <w:tcPr>
            <w:tcW w:type="dxa" w:w="2699"/>
            <w:vAlign w:val="center"/>
          </w:tcPr>
          <w:p w14:paraId="1A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Уровень освоения</w:t>
            </w:r>
          </w:p>
        </w:tc>
        <w:tc>
          <w:tcPr>
            <w:tcW w:type="dxa" w:w="3765"/>
            <w:vAlign w:val="center"/>
          </w:tcPr>
          <w:p w14:paraId="1B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Значение 2025–2026</w:t>
            </w:r>
          </w:p>
        </w:tc>
        <w:tc>
          <w:tcPr>
            <w:tcW w:type="dxa" w:w="3401"/>
            <w:vAlign w:val="center"/>
          </w:tcPr>
          <w:p w14:paraId="1C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Изменение к прошлому году</w:t>
            </w:r>
          </w:p>
        </w:tc>
      </w:tr>
      <w:tr>
        <w:tc>
          <w:tcPr>
            <w:tcW w:type="dxa" w:w="2699"/>
            <w:vAlign w:val="center"/>
          </w:tcPr>
          <w:p w14:paraId="1D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Высокий уровень</w:t>
            </w:r>
          </w:p>
        </w:tc>
        <w:tc>
          <w:tcPr>
            <w:tcW w:type="dxa" w:w="3765"/>
            <w:vAlign w:val="center"/>
          </w:tcPr>
          <w:p w14:paraId="1E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55,09%</w:t>
            </w:r>
          </w:p>
        </w:tc>
        <w:tc>
          <w:tcPr>
            <w:tcW w:type="dxa" w:w="3401"/>
            <w:vAlign w:val="center"/>
          </w:tcPr>
          <w:p w14:paraId="1F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Снижение на 1,29%</w:t>
            </w:r>
          </w:p>
        </w:tc>
      </w:tr>
      <w:tr>
        <w:tc>
          <w:tcPr>
            <w:tcW w:type="dxa" w:w="2699"/>
            <w:vAlign w:val="center"/>
          </w:tcPr>
          <w:p w14:paraId="20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Средний уровень</w:t>
            </w:r>
          </w:p>
        </w:tc>
        <w:tc>
          <w:tcPr>
            <w:tcW w:type="dxa" w:w="3765"/>
            <w:vAlign w:val="center"/>
          </w:tcPr>
          <w:p w14:paraId="21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34,64%</w:t>
            </w:r>
          </w:p>
        </w:tc>
        <w:tc>
          <w:tcPr>
            <w:tcW w:type="dxa" w:w="3401"/>
            <w:vAlign w:val="center"/>
          </w:tcPr>
          <w:p w14:paraId="22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Снижение на 3,63%</w:t>
            </w:r>
          </w:p>
        </w:tc>
      </w:tr>
      <w:tr>
        <w:tc>
          <w:tcPr>
            <w:tcW w:type="dxa" w:w="2699"/>
            <w:vAlign w:val="center"/>
          </w:tcPr>
          <w:p w14:paraId="23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Низкий уровень</w:t>
            </w:r>
          </w:p>
        </w:tc>
        <w:tc>
          <w:tcPr>
            <w:tcW w:type="dxa" w:w="3765"/>
            <w:vAlign w:val="center"/>
          </w:tcPr>
          <w:p w14:paraId="24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6,13%</w:t>
            </w:r>
          </w:p>
        </w:tc>
        <w:tc>
          <w:tcPr>
            <w:tcW w:type="dxa" w:w="3401"/>
            <w:vAlign w:val="center"/>
          </w:tcPr>
          <w:p w14:paraId="25000000">
            <w:pPr>
              <w:widowControl w:val="1"/>
              <w:spacing w:line="276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Рост на 0,78%</w:t>
            </w:r>
          </w:p>
        </w:tc>
      </w:tr>
    </w:tbl>
    <w:p w14:paraId="26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</w:p>
    <w:p w14:paraId="27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педагогической диагностики по отдельным образовательным организациям демонстрируют значительную вариативность показателей.</w:t>
      </w:r>
    </w:p>
    <w:p w14:paraId="28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</w:p>
    <w:p w14:paraId="29000000">
      <w:pPr>
        <w:widowControl w:val="1"/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детей в соответствии с 85-К на 01.01.202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__</w:t>
      </w:r>
      <w:r>
        <w:rPr>
          <w:rFonts w:ascii="Times New Roman" w:hAnsi="Times New Roman"/>
          <w:b w:val="1"/>
          <w:sz w:val="28"/>
          <w:u w:val="single"/>
        </w:rPr>
        <w:t>8</w:t>
      </w:r>
      <w:r>
        <w:rPr>
          <w:rFonts w:ascii="Times New Roman" w:hAnsi="Times New Roman"/>
          <w:b w:val="1"/>
          <w:sz w:val="28"/>
          <w:u w:val="single"/>
        </w:rPr>
        <w:t>8</w:t>
      </w:r>
      <w:r>
        <w:rPr>
          <w:rFonts w:ascii="Times New Roman" w:hAnsi="Times New Roman"/>
          <w:b w:val="1"/>
          <w:sz w:val="28"/>
          <w:u w:val="single"/>
        </w:rPr>
        <w:t>17</w:t>
      </w:r>
      <w:r>
        <w:rPr>
          <w:rFonts w:ascii="Times New Roman" w:hAnsi="Times New Roman"/>
          <w:b w:val="1"/>
          <w:sz w:val="28"/>
          <w:u w:val="single"/>
        </w:rPr>
        <w:t xml:space="preserve"> чел.</w:t>
      </w:r>
      <w:r>
        <w:rPr>
          <w:rFonts w:ascii="Times New Roman" w:hAnsi="Times New Roman"/>
          <w:sz w:val="28"/>
        </w:rPr>
        <w:t>___</w:t>
      </w:r>
    </w:p>
    <w:tbl>
      <w:tblPr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232"/>
        <w:gridCol w:w="1418"/>
        <w:gridCol w:w="1417"/>
        <w:gridCol w:w="1346"/>
      </w:tblGrid>
      <w:tr>
        <w:trPr>
          <w:trHeight w:hRule="atLeast" w:val="300"/>
        </w:trPr>
        <w:tc>
          <w:tcPr>
            <w:tcW w:type="dxa" w:w="6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widowControl w:val="1"/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Наименование ОО</w:t>
            </w:r>
          </w:p>
        </w:tc>
        <w:tc>
          <w:tcPr>
            <w:tcW w:type="dxa" w:w="141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00000">
            <w:pPr>
              <w:widowControl w:val="1"/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Высокий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, %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widowControl w:val="1"/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Средний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, %</w:t>
            </w:r>
          </w:p>
        </w:tc>
        <w:tc>
          <w:tcPr>
            <w:tcW w:type="dxa" w:w="13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widowControl w:val="1"/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Низкий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, %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</w:t>
            </w:r>
            <w:r>
              <w:rPr>
                <w:rFonts w:ascii="Times New Roman" w:hAnsi="Times New Roman"/>
                <w:color w:val="000000"/>
                <w:sz w:val="28"/>
              </w:rPr>
              <w:t>Гамовский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детский сад "Мозаика"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9 </w:t>
            </w:r>
            <w:r>
              <w:rPr>
                <w:rFonts w:ascii="Times New Roman" w:hAnsi="Times New Roman"/>
                <w:color w:val="008000"/>
                <w:sz w:val="28"/>
              </w:rPr>
              <w:t>(+16,5)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(-3,7)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74 </w:t>
            </w:r>
            <w:r>
              <w:rPr>
                <w:rFonts w:ascii="Times New Roman" w:hAnsi="Times New Roman"/>
                <w:color w:val="FF0000"/>
                <w:sz w:val="28"/>
              </w:rPr>
              <w:t>(-12,8)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МАДОУ "Двуреченский детский сад "Семицветик"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2 </w:t>
            </w:r>
            <w:r>
              <w:rPr>
                <w:rFonts w:ascii="Times New Roman" w:hAnsi="Times New Roman"/>
                <w:color w:val="008000"/>
                <w:sz w:val="28"/>
              </w:rPr>
              <w:t>(+1)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6 </w:t>
            </w:r>
            <w:r>
              <w:rPr>
                <w:rFonts w:ascii="Times New Roman" w:hAnsi="Times New Roman"/>
                <w:color w:val="FF0000"/>
                <w:sz w:val="28"/>
              </w:rPr>
              <w:t>(-0,8)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4,</w:t>
            </w:r>
            <w:r>
              <w:rPr>
                <w:rFonts w:ascii="Times New Roman" w:hAnsi="Times New Roman"/>
                <w:sz w:val="28"/>
              </w:rPr>
              <w:t xml:space="preserve">4 </w:t>
            </w:r>
            <w:r>
              <w:rPr>
                <w:rFonts w:ascii="Times New Roman" w:hAnsi="Times New Roman"/>
                <w:color w:val="FF0000"/>
                <w:sz w:val="28"/>
              </w:rPr>
              <w:t>(-0,2)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МАДОУ "Кондратовский детский сад "Акварельки" 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74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9 </w:t>
            </w:r>
            <w:r>
              <w:rPr>
                <w:rFonts w:ascii="Times New Roman" w:hAnsi="Times New Roman"/>
                <w:color w:val="008000"/>
                <w:sz w:val="28"/>
              </w:rPr>
              <w:t>(+7,3)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7 </w:t>
            </w:r>
            <w:r>
              <w:rPr>
                <w:rFonts w:ascii="Times New Roman" w:hAnsi="Times New Roman"/>
                <w:color w:val="FF0000"/>
                <w:sz w:val="28"/>
              </w:rPr>
              <w:t>(-7,42)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(+0,1)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A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"Кондратовский детский сад "</w:t>
            </w:r>
            <w:r>
              <w:rPr>
                <w:rFonts w:ascii="Times New Roman" w:hAnsi="Times New Roman"/>
                <w:color w:val="000000"/>
                <w:sz w:val="28"/>
              </w:rPr>
              <w:t>Мыслители</w:t>
            </w:r>
            <w:r>
              <w:rPr>
                <w:rFonts w:ascii="Times New Roman" w:hAnsi="Times New Roman"/>
                <w:color w:val="000000"/>
                <w:sz w:val="28"/>
              </w:rPr>
              <w:t>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E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"Кондратовский детский сад "Ладошки"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(+24)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32 </w:t>
            </w:r>
            <w:r>
              <w:rPr>
                <w:rFonts w:ascii="Times New Roman" w:hAnsi="Times New Roman"/>
                <w:color w:val="FF0000"/>
                <w:sz w:val="28"/>
              </w:rPr>
              <w:t>(-32)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7,8 </w:t>
            </w:r>
            <w:r>
              <w:rPr>
                <w:rFonts w:ascii="Times New Roman" w:hAnsi="Times New Roman"/>
                <w:color w:val="008000"/>
                <w:sz w:val="28"/>
              </w:rPr>
              <w:t>(+7,8)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2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"Култаевский детский сад "Егоза"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66,5</w:t>
            </w:r>
            <w:r>
              <w:rPr>
                <w:rFonts w:ascii="Times New Roman" w:hAnsi="Times New Roman"/>
                <w:sz w:val="28"/>
              </w:rPr>
              <w:t xml:space="preserve"> (=)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  <w:r>
              <w:rPr>
                <w:rFonts w:ascii="Times New Roman" w:hAnsi="Times New Roman"/>
                <w:sz w:val="28"/>
              </w:rPr>
              <w:t xml:space="preserve">,5 </w:t>
            </w:r>
            <w:r>
              <w:rPr>
                <w:rFonts w:ascii="Times New Roman" w:hAnsi="Times New Roman"/>
                <w:color w:val="008000"/>
                <w:sz w:val="28"/>
              </w:rPr>
              <w:t>(+0,5)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 </w:t>
            </w:r>
            <w:r>
              <w:rPr>
                <w:rFonts w:ascii="Times New Roman" w:hAnsi="Times New Roman"/>
                <w:color w:val="FF0000"/>
                <w:sz w:val="28"/>
              </w:rPr>
              <w:t>(-0,5)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6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"Култаевский детский сад "Колокольчик"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53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7 </w:t>
            </w:r>
            <w:r>
              <w:rPr>
                <w:rFonts w:ascii="Times New Roman" w:hAnsi="Times New Roman"/>
                <w:color w:val="008000"/>
                <w:sz w:val="28"/>
              </w:rPr>
              <w:t>(+6,6)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4 </w:t>
            </w:r>
            <w:r>
              <w:rPr>
                <w:rFonts w:ascii="Times New Roman" w:hAnsi="Times New Roman"/>
                <w:color w:val="FF0000"/>
                <w:sz w:val="28"/>
              </w:rPr>
              <w:t>(-7,5)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,9 </w:t>
            </w:r>
            <w:r>
              <w:rPr>
                <w:rFonts w:ascii="Times New Roman" w:hAnsi="Times New Roman"/>
                <w:color w:val="008000"/>
                <w:sz w:val="28"/>
              </w:rPr>
              <w:t>(+0,9)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A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"Лобановский детский сад "Солнечный город"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9 </w:t>
            </w:r>
            <w:r>
              <w:rPr>
                <w:rFonts w:ascii="Times New Roman" w:hAnsi="Times New Roman"/>
                <w:color w:val="008000"/>
                <w:sz w:val="28"/>
              </w:rPr>
              <w:t>(+5,8)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3 </w:t>
            </w:r>
            <w:r>
              <w:rPr>
                <w:rFonts w:ascii="Times New Roman" w:hAnsi="Times New Roman"/>
                <w:color w:val="FF0000"/>
                <w:sz w:val="28"/>
              </w:rPr>
              <w:t>(-5)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7,</w:t>
            </w:r>
            <w:r>
              <w:rPr>
                <w:rFonts w:ascii="Times New Roman" w:hAnsi="Times New Roman"/>
                <w:sz w:val="28"/>
              </w:rPr>
              <w:t xml:space="preserve">2 </w:t>
            </w:r>
            <w:r>
              <w:rPr>
                <w:rFonts w:ascii="Times New Roman" w:hAnsi="Times New Roman"/>
                <w:color w:val="FF0000"/>
                <w:sz w:val="28"/>
              </w:rPr>
              <w:t>(-</w:t>
            </w:r>
            <w:r>
              <w:rPr>
                <w:rFonts w:ascii="Times New Roman" w:hAnsi="Times New Roman"/>
                <w:color w:val="FF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0,75)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E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МАДОУ "</w:t>
            </w:r>
            <w:r>
              <w:rPr>
                <w:rFonts w:ascii="Times New Roman" w:hAnsi="Times New Roman"/>
                <w:sz w:val="28"/>
              </w:rPr>
              <w:t>Платошинский</w:t>
            </w:r>
            <w:r>
              <w:rPr>
                <w:rFonts w:ascii="Times New Roman" w:hAnsi="Times New Roman"/>
                <w:sz w:val="28"/>
              </w:rPr>
              <w:t xml:space="preserve"> детский сад "Солнышко"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(+11,5)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45 </w:t>
            </w:r>
            <w:r>
              <w:rPr>
                <w:rFonts w:ascii="Times New Roman" w:hAnsi="Times New Roman"/>
                <w:color w:val="FF0000"/>
                <w:sz w:val="28"/>
              </w:rPr>
              <w:t>(-8,5)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(-3)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2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"С</w:t>
            </w:r>
            <w:r>
              <w:rPr>
                <w:rFonts w:ascii="Times New Roman" w:hAnsi="Times New Roman"/>
                <w:color w:val="000000"/>
                <w:sz w:val="28"/>
              </w:rPr>
              <w:t>авинский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детский сад "</w:t>
            </w:r>
            <w:r>
              <w:rPr>
                <w:rFonts w:ascii="Times New Roman" w:hAnsi="Times New Roman"/>
                <w:color w:val="000000"/>
                <w:sz w:val="28"/>
              </w:rPr>
              <w:t>Мечтатели</w:t>
            </w:r>
            <w:r>
              <w:rPr>
                <w:rFonts w:ascii="Times New Roman" w:hAnsi="Times New Roman"/>
                <w:color w:val="000000"/>
                <w:sz w:val="28"/>
              </w:rPr>
              <w:t>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2 </w:t>
            </w:r>
            <w:r>
              <w:rPr>
                <w:rFonts w:ascii="Times New Roman" w:hAnsi="Times New Roman"/>
                <w:color w:val="008000"/>
                <w:sz w:val="28"/>
              </w:rPr>
              <w:t>(+0,7)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(-0,5)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0,8 </w:t>
            </w:r>
            <w:r>
              <w:rPr>
                <w:rFonts w:ascii="Times New Roman" w:hAnsi="Times New Roman"/>
                <w:color w:val="FF0000"/>
                <w:sz w:val="28"/>
              </w:rPr>
              <w:t>(-0,3)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6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"Сылвенский детский сад "Рябинка"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63 </w:t>
            </w:r>
            <w:r>
              <w:rPr>
                <w:rFonts w:ascii="Times New Roman" w:hAnsi="Times New Roman"/>
                <w:color w:val="008000"/>
                <w:sz w:val="28"/>
              </w:rPr>
              <w:t>(+1,6)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27,5 </w:t>
            </w:r>
            <w:r>
              <w:rPr>
                <w:rFonts w:ascii="Times New Roman" w:hAnsi="Times New Roman"/>
                <w:color w:val="FF0000"/>
                <w:sz w:val="28"/>
              </w:rPr>
              <w:t>(-</w:t>
            </w:r>
            <w:r>
              <w:rPr>
                <w:rFonts w:ascii="Times New Roman" w:hAnsi="Times New Roman"/>
                <w:color w:val="FF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4,7)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</w:t>
            </w:r>
            <w:r>
              <w:rPr>
                <w:rFonts w:ascii="Times New Roman" w:hAnsi="Times New Roman"/>
                <w:color w:val="008000"/>
                <w:sz w:val="28"/>
              </w:rPr>
              <w:t>3</w:t>
            </w:r>
            <w:r>
              <w:rPr>
                <w:rFonts w:ascii="Times New Roman" w:hAnsi="Times New Roman"/>
                <w:color w:val="008000"/>
                <w:sz w:val="28"/>
              </w:rPr>
              <w:t>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A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МАДОУ "Юго-Камский детский сад "Планета детства"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54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5 </w:t>
            </w:r>
            <w:r>
              <w:rPr>
                <w:rFonts w:ascii="Times New Roman" w:hAnsi="Times New Roman"/>
                <w:color w:val="FF0000"/>
                <w:sz w:val="28"/>
              </w:rPr>
              <w:t>(-5,6)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35,</w:t>
            </w:r>
            <w:r>
              <w:rPr>
                <w:rFonts w:ascii="Times New Roman" w:hAnsi="Times New Roman"/>
                <w:sz w:val="28"/>
              </w:rPr>
              <w:t xml:space="preserve">9 </w:t>
            </w:r>
            <w:r>
              <w:rPr>
                <w:rFonts w:ascii="Times New Roman" w:hAnsi="Times New Roman"/>
                <w:color w:val="008000"/>
                <w:sz w:val="28"/>
              </w:rPr>
              <w:t>(+0,6)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7 </w:t>
            </w:r>
            <w:r>
              <w:rPr>
                <w:rFonts w:ascii="Times New Roman" w:hAnsi="Times New Roman"/>
                <w:color w:val="008000"/>
                <w:sz w:val="28"/>
              </w:rPr>
              <w:t>(+5,12)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E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</w:t>
            </w:r>
            <w:r>
              <w:rPr>
                <w:rFonts w:ascii="Times New Roman" w:hAnsi="Times New Roman"/>
                <w:color w:val="000000"/>
                <w:sz w:val="28"/>
              </w:rPr>
              <w:t>Бабкинская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4 </w:t>
            </w:r>
            <w:r>
              <w:rPr>
                <w:rFonts w:ascii="Times New Roman" w:hAnsi="Times New Roman"/>
                <w:color w:val="FF0000"/>
                <w:sz w:val="28"/>
              </w:rPr>
              <w:t>(- 3,31)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40,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(+3,94)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0 </w:t>
            </w:r>
            <w:r>
              <w:rPr>
                <w:rFonts w:ascii="Times New Roman" w:hAnsi="Times New Roman"/>
                <w:color w:val="FF0000"/>
                <w:sz w:val="28"/>
              </w:rPr>
              <w:t>(-</w:t>
            </w:r>
            <w:r>
              <w:rPr>
                <w:rFonts w:ascii="Times New Roman" w:hAnsi="Times New Roman"/>
                <w:color w:val="FF0000"/>
                <w:sz w:val="28"/>
              </w:rPr>
              <w:t>0,63</w:t>
            </w:r>
            <w:r>
              <w:rPr>
                <w:rFonts w:ascii="Times New Roman" w:hAnsi="Times New Roman"/>
                <w:color w:val="FF0000"/>
                <w:sz w:val="28"/>
              </w:rPr>
              <w:t>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2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</w:t>
            </w:r>
            <w:r>
              <w:rPr>
                <w:rFonts w:ascii="Times New Roman" w:hAnsi="Times New Roman"/>
                <w:color w:val="000000"/>
                <w:sz w:val="28"/>
              </w:rPr>
              <w:t>Бершетская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(+2</w:t>
            </w:r>
            <w:r>
              <w:rPr>
                <w:rFonts w:ascii="Times New Roman" w:hAnsi="Times New Roman"/>
                <w:color w:val="008000"/>
                <w:sz w:val="28"/>
              </w:rPr>
              <w:t>6</w:t>
            </w:r>
            <w:r>
              <w:rPr>
                <w:rFonts w:ascii="Times New Roman" w:hAnsi="Times New Roman"/>
                <w:color w:val="008000"/>
                <w:sz w:val="28"/>
              </w:rPr>
              <w:t>,</w:t>
            </w:r>
            <w:r>
              <w:rPr>
                <w:rFonts w:ascii="Times New Roman" w:hAnsi="Times New Roman"/>
                <w:color w:val="008000"/>
                <w:sz w:val="28"/>
              </w:rPr>
              <w:t>2</w:t>
            </w:r>
            <w:r>
              <w:rPr>
                <w:rFonts w:ascii="Times New Roman" w:hAnsi="Times New Roman"/>
                <w:color w:val="008000"/>
                <w:sz w:val="28"/>
              </w:rPr>
              <w:t>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(-</w:t>
            </w:r>
            <w:r>
              <w:rPr>
                <w:rFonts w:ascii="Times New Roman" w:hAnsi="Times New Roman"/>
                <w:color w:val="FF0000"/>
                <w:sz w:val="28"/>
              </w:rPr>
              <w:t>12</w:t>
            </w:r>
            <w:r>
              <w:rPr>
                <w:rFonts w:ascii="Times New Roman" w:hAnsi="Times New Roman"/>
                <w:color w:val="FF0000"/>
                <w:sz w:val="28"/>
              </w:rPr>
              <w:t>,</w:t>
            </w:r>
            <w:r>
              <w:rPr>
                <w:rFonts w:ascii="Times New Roman" w:hAnsi="Times New Roman"/>
                <w:color w:val="FF0000"/>
                <w:sz w:val="28"/>
              </w:rPr>
              <w:t>7</w:t>
            </w:r>
            <w:r>
              <w:rPr>
                <w:rFonts w:ascii="Times New Roman" w:hAnsi="Times New Roman"/>
                <w:color w:val="FF0000"/>
                <w:sz w:val="28"/>
              </w:rPr>
              <w:t>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 </w:t>
            </w:r>
            <w:r>
              <w:rPr>
                <w:rFonts w:ascii="Times New Roman" w:hAnsi="Times New Roman"/>
                <w:color w:val="FF0000"/>
                <w:sz w:val="28"/>
              </w:rPr>
              <w:t>(-13,</w:t>
            </w:r>
            <w:r>
              <w:rPr>
                <w:rFonts w:ascii="Times New Roman" w:hAnsi="Times New Roman"/>
                <w:color w:val="FF0000"/>
                <w:sz w:val="28"/>
              </w:rPr>
              <w:t>4</w:t>
            </w:r>
            <w:r>
              <w:rPr>
                <w:rFonts w:ascii="Times New Roman" w:hAnsi="Times New Roman"/>
                <w:color w:val="FF0000"/>
                <w:sz w:val="28"/>
              </w:rPr>
              <w:t>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6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"Кондратовская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,7 </w:t>
            </w:r>
            <w:r>
              <w:rPr>
                <w:rFonts w:ascii="Times New Roman" w:hAnsi="Times New Roman"/>
                <w:color w:val="008000"/>
                <w:sz w:val="28"/>
              </w:rPr>
              <w:t>(+10,7)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24,7 </w:t>
            </w:r>
            <w:r>
              <w:rPr>
                <w:rFonts w:ascii="Times New Roman" w:hAnsi="Times New Roman"/>
                <w:color w:val="FF0000"/>
                <w:sz w:val="28"/>
              </w:rPr>
              <w:t>(-10,3)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1,7 </w:t>
            </w:r>
            <w:r>
              <w:rPr>
                <w:rFonts w:ascii="Times New Roman" w:hAnsi="Times New Roman"/>
                <w:color w:val="FF0000"/>
                <w:sz w:val="28"/>
              </w:rPr>
              <w:t>(-0,3)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A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"Лобановская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3 </w:t>
            </w:r>
            <w:r>
              <w:rPr>
                <w:rFonts w:ascii="Times New Roman" w:hAnsi="Times New Roman"/>
                <w:color w:val="FF0000"/>
                <w:sz w:val="28"/>
              </w:rPr>
              <w:t>(-24,6)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56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</w:t>
            </w:r>
            <w:r>
              <w:rPr>
                <w:rFonts w:ascii="Times New Roman" w:hAnsi="Times New Roman"/>
                <w:color w:val="008000"/>
                <w:sz w:val="28"/>
              </w:rPr>
              <w:t>22,4</w:t>
            </w:r>
            <w:r>
              <w:rPr>
                <w:rFonts w:ascii="Times New Roman" w:hAnsi="Times New Roman"/>
                <w:color w:val="008000"/>
                <w:sz w:val="28"/>
              </w:rPr>
              <w:t>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8 </w:t>
            </w:r>
            <w:r>
              <w:rPr>
                <w:rFonts w:ascii="Times New Roman" w:hAnsi="Times New Roman"/>
                <w:color w:val="008000"/>
                <w:sz w:val="28"/>
              </w:rPr>
              <w:t>(+2,3)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E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</w:t>
            </w:r>
            <w:r>
              <w:rPr>
                <w:rFonts w:ascii="Times New Roman" w:hAnsi="Times New Roman"/>
                <w:color w:val="000000"/>
                <w:sz w:val="28"/>
              </w:rPr>
              <w:t>Мулянская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(+6,7)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16 </w:t>
            </w:r>
            <w:r>
              <w:rPr>
                <w:rFonts w:ascii="Times New Roman" w:hAnsi="Times New Roman"/>
                <w:color w:val="FF0000"/>
                <w:sz w:val="28"/>
              </w:rPr>
              <w:t>(-6,3)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8 </w:t>
            </w:r>
            <w:r>
              <w:rPr>
                <w:rFonts w:ascii="Times New Roman" w:hAnsi="Times New Roman"/>
                <w:color w:val="FF0000"/>
                <w:sz w:val="28"/>
              </w:rPr>
              <w:t>(-0,4)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2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"Платошинская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1 </w:t>
            </w:r>
            <w:r>
              <w:rPr>
                <w:rFonts w:ascii="Times New Roman" w:hAnsi="Times New Roman"/>
                <w:color w:val="FF0000"/>
                <w:sz w:val="28"/>
              </w:rPr>
              <w:t>(</w:t>
            </w:r>
            <w:r>
              <w:rPr>
                <w:rFonts w:ascii="Times New Roman" w:hAnsi="Times New Roman"/>
                <w:color w:val="FF0000"/>
                <w:sz w:val="28"/>
              </w:rPr>
              <w:t>- 3,4)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66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9 </w:t>
            </w:r>
            <w:r>
              <w:rPr>
                <w:rFonts w:ascii="Times New Roman" w:hAnsi="Times New Roman"/>
                <w:color w:val="FF0000"/>
                <w:sz w:val="28"/>
              </w:rPr>
              <w:t>(</w:t>
            </w:r>
            <w:r>
              <w:rPr>
                <w:rFonts w:ascii="Times New Roman" w:hAnsi="Times New Roman"/>
                <w:color w:val="FF0000"/>
                <w:sz w:val="28"/>
              </w:rPr>
              <w:t>- 10,6)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25 </w:t>
            </w:r>
            <w:r>
              <w:rPr>
                <w:rFonts w:ascii="Times New Roman" w:hAnsi="Times New Roman"/>
                <w:color w:val="008000"/>
                <w:sz w:val="28"/>
              </w:rPr>
              <w:t>(</w:t>
            </w:r>
            <w:r>
              <w:rPr>
                <w:rFonts w:ascii="Times New Roman" w:hAnsi="Times New Roman"/>
                <w:color w:val="008000"/>
                <w:sz w:val="28"/>
              </w:rPr>
              <w:t>+14)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МАОУ "Савинская средняя школа" 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9 </w:t>
            </w:r>
            <w:r>
              <w:rPr>
                <w:rFonts w:ascii="Times New Roman" w:hAnsi="Times New Roman"/>
                <w:color w:val="FF0000"/>
                <w:sz w:val="28"/>
              </w:rPr>
              <w:t>(-11,6)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42 </w:t>
            </w:r>
            <w:r>
              <w:rPr>
                <w:rFonts w:ascii="Times New Roman" w:hAnsi="Times New Roman"/>
                <w:color w:val="008000"/>
                <w:sz w:val="28"/>
              </w:rPr>
              <w:t>(+5,5)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12,2 </w:t>
            </w:r>
            <w:r>
              <w:rPr>
                <w:rFonts w:ascii="Times New Roman" w:hAnsi="Times New Roman"/>
                <w:color w:val="008000"/>
                <w:sz w:val="28"/>
              </w:rPr>
              <w:t>(+6,2)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A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</w:t>
            </w:r>
            <w:r>
              <w:rPr>
                <w:rFonts w:ascii="Times New Roman" w:hAnsi="Times New Roman"/>
                <w:color w:val="000000"/>
                <w:sz w:val="28"/>
              </w:rPr>
              <w:t>Сылвенская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83 </w:t>
            </w:r>
            <w:r>
              <w:rPr>
                <w:rFonts w:ascii="Times New Roman" w:hAnsi="Times New Roman"/>
                <w:color w:val="008000"/>
                <w:sz w:val="28"/>
              </w:rPr>
              <w:t>(+4,7)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17 </w:t>
            </w:r>
            <w:r>
              <w:rPr>
                <w:rFonts w:ascii="Times New Roman" w:hAnsi="Times New Roman"/>
                <w:color w:val="FF0000"/>
                <w:sz w:val="28"/>
              </w:rPr>
              <w:t>(-</w:t>
            </w:r>
            <w:r>
              <w:rPr>
                <w:rFonts w:ascii="Times New Roman" w:hAnsi="Times New Roman"/>
                <w:color w:val="FF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4,6)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 xml:space="preserve"> (=)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E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</w:t>
            </w:r>
            <w:r>
              <w:rPr>
                <w:rFonts w:ascii="Times New Roman" w:hAnsi="Times New Roman"/>
                <w:color w:val="000000"/>
                <w:sz w:val="28"/>
              </w:rPr>
              <w:t>Усть-Качкинская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7 </w:t>
            </w:r>
            <w:r>
              <w:rPr>
                <w:rFonts w:ascii="Times New Roman" w:hAnsi="Times New Roman"/>
                <w:color w:val="FF0000"/>
                <w:sz w:val="28"/>
              </w:rPr>
              <w:t>(-0,5)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44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8 </w:t>
            </w:r>
            <w:r>
              <w:rPr>
                <w:rFonts w:ascii="Times New Roman" w:hAnsi="Times New Roman"/>
                <w:color w:val="008000"/>
                <w:sz w:val="28"/>
              </w:rPr>
              <w:t>(+3,2)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5 </w:t>
            </w:r>
            <w:r>
              <w:rPr>
                <w:rFonts w:ascii="Times New Roman" w:hAnsi="Times New Roman"/>
                <w:color w:val="FF0000"/>
                <w:sz w:val="28"/>
              </w:rPr>
              <w:t>(-2,7)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2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</w:t>
            </w:r>
            <w:r>
              <w:rPr>
                <w:rFonts w:ascii="Times New Roman" w:hAnsi="Times New Roman"/>
                <w:color w:val="000000"/>
                <w:sz w:val="28"/>
              </w:rPr>
              <w:t>Фроловская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79 </w:t>
            </w:r>
            <w:r>
              <w:rPr>
                <w:rFonts w:ascii="Times New Roman" w:hAnsi="Times New Roman"/>
                <w:color w:val="FF0000"/>
                <w:sz w:val="28"/>
              </w:rPr>
              <w:t>(-4,8)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22 </w:t>
            </w:r>
            <w:r>
              <w:rPr>
                <w:rFonts w:ascii="Times New Roman" w:hAnsi="Times New Roman"/>
                <w:color w:val="008000"/>
                <w:sz w:val="28"/>
              </w:rPr>
              <w:t>(+4,8)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 xml:space="preserve"> (=)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6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"Юго-Камская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(-27,5)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60,5 </w:t>
            </w:r>
            <w:r>
              <w:rPr>
                <w:rFonts w:ascii="Times New Roman" w:hAnsi="Times New Roman"/>
                <w:color w:val="008000"/>
                <w:sz w:val="28"/>
              </w:rPr>
              <w:t>(+8,5)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  <w:r>
              <w:rPr>
                <w:rFonts w:ascii="Times New Roman" w:hAnsi="Times New Roman"/>
                <w:sz w:val="28"/>
              </w:rPr>
              <w:t>,5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8000"/>
                <w:sz w:val="28"/>
              </w:rPr>
              <w:t>(+19)</w:t>
            </w:r>
          </w:p>
        </w:tc>
      </w:tr>
      <w:tr>
        <w:trPr>
          <w:trHeight w:hRule="atLeast" w:val="402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A000000">
            <w:pPr>
              <w:widowControl w:val="1"/>
              <w:spacing w:after="0" w:line="276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МАОУ "</w:t>
            </w:r>
            <w:r>
              <w:rPr>
                <w:rFonts w:ascii="Times New Roman" w:hAnsi="Times New Roman"/>
                <w:color w:val="000000"/>
                <w:sz w:val="28"/>
              </w:rPr>
              <w:t>Юговская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средняя школа"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  <w:r>
              <w:rPr>
                <w:rFonts w:ascii="Times New Roman" w:hAnsi="Times New Roman"/>
                <w:sz w:val="28"/>
              </w:rPr>
              <w:t>,5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</w:rPr>
              <w:t>(-18)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5 </w:t>
            </w:r>
            <w:r>
              <w:rPr>
                <w:rFonts w:ascii="Times New Roman" w:hAnsi="Times New Roman"/>
                <w:color w:val="008000"/>
                <w:sz w:val="28"/>
              </w:rPr>
              <w:t>(+15,5)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 </w:t>
            </w:r>
            <w:r>
              <w:rPr>
                <w:rFonts w:ascii="Times New Roman" w:hAnsi="Times New Roman"/>
                <w:color w:val="008000"/>
                <w:sz w:val="28"/>
              </w:rPr>
              <w:t>(+2,5)</w:t>
            </w:r>
          </w:p>
        </w:tc>
      </w:tr>
      <w:tr>
        <w:trPr>
          <w:trHeight w:hRule="atLeast" w:val="540"/>
        </w:trPr>
        <w:tc>
          <w:tcPr>
            <w:tcW w:type="dxa" w:w="62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00000">
            <w:pPr>
              <w:widowControl w:val="1"/>
              <w:spacing w:after="0" w:line="276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Средний по 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округу: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55,09 </w:t>
            </w:r>
            <w:r>
              <w:rPr>
                <w:rFonts w:ascii="Times New Roman" w:hAnsi="Times New Roman"/>
                <w:b w:val="1"/>
                <w:color w:val="FF0000"/>
                <w:sz w:val="28"/>
              </w:rPr>
              <w:t>(-1</w:t>
            </w:r>
            <w:r>
              <w:rPr>
                <w:rFonts w:ascii="Times New Roman" w:hAnsi="Times New Roman"/>
                <w:b w:val="1"/>
                <w:color w:val="FF0000"/>
                <w:sz w:val="28"/>
              </w:rPr>
              <w:t>,29</w:t>
            </w:r>
            <w:r>
              <w:rPr>
                <w:rFonts w:ascii="Times New Roman" w:hAnsi="Times New Roman"/>
                <w:b w:val="1"/>
                <w:color w:val="FF0000"/>
                <w:sz w:val="28"/>
              </w:rPr>
              <w:t>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34,64 </w:t>
            </w:r>
            <w:r>
              <w:rPr>
                <w:rFonts w:ascii="Times New Roman" w:hAnsi="Times New Roman"/>
                <w:b w:val="1"/>
                <w:color w:val="FF0000"/>
                <w:sz w:val="28"/>
              </w:rPr>
              <w:t>(-</w:t>
            </w:r>
            <w:r>
              <w:rPr>
                <w:rFonts w:ascii="Times New Roman" w:hAnsi="Times New Roman"/>
                <w:b w:val="1"/>
                <w:color w:val="FF0000"/>
                <w:sz w:val="28"/>
              </w:rPr>
              <w:t>3,63</w:t>
            </w:r>
            <w:r>
              <w:rPr>
                <w:rFonts w:ascii="Times New Roman" w:hAnsi="Times New Roman"/>
                <w:b w:val="1"/>
                <w:color w:val="FF0000"/>
                <w:sz w:val="28"/>
              </w:rPr>
              <w:t>)</w:t>
            </w:r>
          </w:p>
        </w:tc>
        <w:tc>
          <w:tcPr>
            <w:tcW w:type="dxa" w:w="1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00000">
            <w:pPr>
              <w:widowControl w:val="1"/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6</w:t>
            </w:r>
            <w:r>
              <w:rPr>
                <w:rFonts w:ascii="Times New Roman" w:hAnsi="Times New Roman"/>
                <w:b w:val="1"/>
                <w:sz w:val="28"/>
              </w:rPr>
              <w:t xml:space="preserve">,13 </w:t>
            </w:r>
            <w:r>
              <w:rPr>
                <w:rFonts w:ascii="Times New Roman" w:hAnsi="Times New Roman"/>
                <w:b w:val="1"/>
                <w:color w:val="008000"/>
                <w:sz w:val="28"/>
              </w:rPr>
              <w:t>(</w:t>
            </w:r>
            <w:r>
              <w:rPr>
                <w:rFonts w:ascii="Times New Roman" w:hAnsi="Times New Roman"/>
                <w:b w:val="1"/>
                <w:color w:val="008000"/>
                <w:sz w:val="28"/>
              </w:rPr>
              <w:t>+</w:t>
            </w:r>
            <w:r>
              <w:rPr>
                <w:rFonts w:ascii="Times New Roman" w:hAnsi="Times New Roman"/>
                <w:b w:val="1"/>
                <w:color w:val="008000"/>
                <w:sz w:val="28"/>
              </w:rPr>
              <w:t>0,78</w:t>
            </w:r>
            <w:r>
              <w:rPr>
                <w:rFonts w:ascii="Times New Roman" w:hAnsi="Times New Roman"/>
                <w:b w:val="1"/>
                <w:color w:val="008000"/>
                <w:sz w:val="28"/>
              </w:rPr>
              <w:t>)</w:t>
            </w:r>
          </w:p>
        </w:tc>
      </w:tr>
    </w:tbl>
    <w:p w14:paraId="92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4. Выводы и причины снижения качества образования</w:t>
      </w:r>
    </w:p>
    <w:p w14:paraId="93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Причины снижения качества образовательных результатов включают следующие факторы:</w:t>
      </w:r>
    </w:p>
    <w:p w14:paraId="94000000">
      <w:pPr>
        <w:widowControl w:val="1"/>
        <w:numPr>
          <w:numId w:val="1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кадровая нестабильность: высокая текучесть педагогических кадров и отсутствие преемственности в профессиональной деятельности;</w:t>
      </w:r>
    </w:p>
    <w:p w14:paraId="95000000">
      <w:pPr>
        <w:widowControl w:val="1"/>
        <w:numPr>
          <w:numId w:val="1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социально-демографические изменения: увеличение числа детей с ограниченными возможностями здоровья (ОВЗ) и из социально уязвимых семей;</w:t>
      </w:r>
    </w:p>
    <w:p w14:paraId="96000000">
      <w:pPr>
        <w:widowControl w:val="1"/>
        <w:numPr>
          <w:numId w:val="1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неоднородность групп воспитанников по уровню развития и образовательным потребностям;</w:t>
      </w:r>
    </w:p>
    <w:p w14:paraId="97000000">
      <w:pPr>
        <w:widowControl w:val="1"/>
        <w:numPr>
          <w:numId w:val="1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позднее зачисление детей в дошкольные образовательные учреждения (после достижения возраста 3 лет и старше), что затрудняет организацию и эффективность образовательного процесса;</w:t>
      </w:r>
    </w:p>
    <w:p w14:paraId="98000000">
      <w:pPr>
        <w:widowControl w:val="1"/>
        <w:numPr>
          <w:numId w:val="1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формальный подход к планированию и недостаточная индивидуализация образовательного процесса;</w:t>
      </w:r>
    </w:p>
    <w:p w14:paraId="99000000">
      <w:pPr>
        <w:widowControl w:val="1"/>
        <w:numPr>
          <w:numId w:val="2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несвоевременное планирование, слабый контроль реализации ОП ДО;</w:t>
      </w:r>
    </w:p>
    <w:p w14:paraId="9A000000">
      <w:pPr>
        <w:widowControl w:val="1"/>
        <w:numPr>
          <w:numId w:val="2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недостаточный уровень коррекционной работы и профилактики отставаний.</w:t>
      </w:r>
    </w:p>
    <w:p w14:paraId="9B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5. Проблемные зоны и системные вызовы</w:t>
      </w:r>
    </w:p>
    <w:p w14:paraId="9C000000">
      <w:pPr>
        <w:widowControl w:val="1"/>
        <w:numPr>
          <w:numId w:val="3"/>
        </w:numPr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кадровый дефицит: нехватка квалифицированных педагогов, особенно специалистов по раннему возрасту и работе с детьми с ОВЗ; низкий уровень цифровых компетенций педагогов; старение кадрового состава и высокая текучесть.</w:t>
      </w:r>
    </w:p>
    <w:p w14:paraId="9D000000">
      <w:pPr>
        <w:widowControl w:val="1"/>
        <w:numPr>
          <w:numId w:val="3"/>
        </w:numPr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инфраструктурные ограничения: хроническая нехватка мест для детей в             д. Кондратово и с. Култаево; переуплотненность  групп.</w:t>
      </w:r>
    </w:p>
    <w:p w14:paraId="9E000000">
      <w:pPr>
        <w:widowControl w:val="1"/>
        <w:numPr>
          <w:numId w:val="3"/>
        </w:numPr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качество образования: рост числа детей с низким уровнем освоения образовательной программы; снижение доли детей, успешно осваивающих программу.</w:t>
      </w:r>
    </w:p>
    <w:p w14:paraId="9F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6. Система коррекционного образования</w:t>
      </w:r>
    </w:p>
    <w:p w14:paraId="A0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округа функционирует развитая система поддержки детей с особыми образовательными потребностями:</w:t>
      </w:r>
    </w:p>
    <w:p w14:paraId="A1000000">
      <w:pPr>
        <w:widowControl w:val="1"/>
        <w:numPr>
          <w:numId w:val="4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организованы 28 компенсирующих и 49 комбинированных групп;</w:t>
      </w:r>
    </w:p>
    <w:p w14:paraId="A2000000">
      <w:pPr>
        <w:widowControl w:val="1"/>
        <w:numPr>
          <w:numId w:val="4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осуществляется сопровождение 69 детей-инвалидов и 25 воспитанников с расстройствами аутистического спектра (РАС) и тяжёлыми множественными нарушениями развития (ТМНР);</w:t>
      </w:r>
    </w:p>
    <w:p w14:paraId="A3000000">
      <w:pPr>
        <w:widowControl w:val="1"/>
        <w:numPr>
          <w:numId w:val="4"/>
        </w:numPr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ведется разработка адаптированных основных программ (АОП) для детей с ТНР, ЗПР и умственной отсталостью.</w:t>
      </w:r>
    </w:p>
    <w:p w14:paraId="A4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</w:p>
    <w:p w14:paraId="A5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</w:p>
    <w:p w14:paraId="A6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7. Инновации и лучшие практики</w:t>
      </w:r>
    </w:p>
    <w:p w14:paraId="A7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Значительный опыт инновационной деятельности накоплен на базе ряда учреждений:</w:t>
      </w:r>
    </w:p>
    <w:p w14:paraId="A8000000">
      <w:pPr>
        <w:widowControl w:val="1"/>
        <w:spacing w:line="276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Профориентационная работа</w:t>
      </w:r>
    </w:p>
    <w:p w14:paraId="A9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«Савинский д/с «Мечтатели» — внедрение программы ранней профориентации</w:t>
      </w:r>
    </w:p>
    <w:p w14:paraId="AA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«Ладошки» — реализация инновационного проекта по созданию инклюзивного пространства детства на основе деятельности центра игровой поддержки ребёнка</w:t>
      </w:r>
    </w:p>
    <w:p w14:paraId="AB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«Акварельки» — разработка авторских программ по работе с детьми с особыми образовательными потребностями</w:t>
      </w:r>
    </w:p>
    <w:p w14:paraId="AC000000">
      <w:pPr>
        <w:widowControl w:val="1"/>
        <w:spacing w:line="276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Проектная деятельность</w:t>
      </w:r>
    </w:p>
    <w:p w14:paraId="AD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«Гамовский д/с «Мозаика» — реализация образовательных проектов в области туризма</w:t>
      </w:r>
    </w:p>
    <w:p w14:paraId="AE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«Лобановский д/с «Солнечный город» — разработка и внедрение социально значимых инициатив</w:t>
      </w:r>
    </w:p>
    <w:p w14:paraId="AF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«Ладошки» — создание волонтёрского движения «Твори добра», организация благотворительных акций</w:t>
      </w:r>
    </w:p>
    <w:p w14:paraId="B0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«Сылвенский д/с «Рябинка» — реализация экологических проектов</w:t>
      </w:r>
    </w:p>
    <w:p w14:paraId="B1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«Двуреченский д/с «Семицветик» — внедрение проектной деятельности по художественно-эстетическому развитию</w:t>
      </w:r>
    </w:p>
    <w:p w14:paraId="B2000000">
      <w:pPr>
        <w:widowControl w:val="1"/>
        <w:spacing w:line="276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Цифровизация образования</w:t>
      </w:r>
    </w:p>
    <w:p w14:paraId="B3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МАОУ «Фроловская средняя школа» — активное использование интерактивных технологий и робототехники</w:t>
      </w:r>
    </w:p>
    <w:p w14:paraId="B4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«Ладошки» — внедрение современных технологий в работу центра игровой поддержки ребёнка</w:t>
      </w:r>
    </w:p>
    <w:p w14:paraId="B5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«Сылвенский д/с «Рябинка» — создание цифровой образовательной среды</w:t>
      </w:r>
    </w:p>
    <w:p w14:paraId="B6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«Двуреченский д/с «Семицветик» — использование цифровых технологий в образовательном процессе</w:t>
      </w:r>
    </w:p>
    <w:p w14:paraId="B7000000">
      <w:pPr>
        <w:widowControl w:val="1"/>
        <w:spacing w:line="276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Патриотическое воспитание</w:t>
      </w:r>
    </w:p>
    <w:p w14:paraId="B8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учреждения округа — реализация программы и проектов «Орлята-дошколята»</w:t>
      </w:r>
    </w:p>
    <w:p w14:paraId="B9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«Ладошки» — участие воспитанников в олимпиадах и конкурсах</w:t>
      </w:r>
    </w:p>
    <w:p w14:paraId="BA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«Акварельки» — организация музейной педагогики</w:t>
      </w:r>
    </w:p>
    <w:p w14:paraId="BB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«Сылвенский д/с «Рябинка» — реализация краеведческих проектов</w:t>
      </w:r>
    </w:p>
    <w:p w14:paraId="BC000000">
      <w:pPr>
        <w:widowControl w:val="1"/>
        <w:spacing w:line="276" w:lineRule="auto"/>
        <w:ind/>
        <w:rPr>
          <w:rFonts w:ascii="Times New Roman" w:hAnsi="Times New Roman"/>
          <w:b w:val="1"/>
          <w:i w:val="1"/>
          <w:sz w:val="28"/>
        </w:rPr>
      </w:pPr>
    </w:p>
    <w:p w14:paraId="BD000000">
      <w:pPr>
        <w:widowControl w:val="1"/>
        <w:spacing w:line="276" w:lineRule="auto"/>
        <w:ind/>
        <w:rPr>
          <w:rFonts w:ascii="Times New Roman" w:hAnsi="Times New Roman"/>
          <w:b w:val="1"/>
          <w:i w:val="1"/>
          <w:sz w:val="28"/>
        </w:rPr>
      </w:pPr>
    </w:p>
    <w:p w14:paraId="BE000000">
      <w:pPr>
        <w:widowControl w:val="1"/>
        <w:spacing w:line="276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Инклюзивное образование</w:t>
      </w:r>
    </w:p>
    <w:p w14:paraId="BF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«Акварельки» — создание эффективной модели работы с детьми с ОВЗ</w:t>
      </w:r>
    </w:p>
    <w:p w14:paraId="C0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МАДОУ «Кондратовский д/с «Ладошки» — развитие инклюзивного пространства</w:t>
      </w:r>
    </w:p>
    <w:p w14:paraId="C1000000">
      <w:pPr>
        <w:widowControl w:val="1"/>
        <w:spacing w:line="276" w:lineRule="auto"/>
        <w:ind w:firstLine="850" w:left="0"/>
        <w:rPr>
          <w:rFonts w:ascii="Times New Roman" w:hAnsi="Times New Roman"/>
          <w:sz w:val="28"/>
        </w:rPr>
      </w:pPr>
    </w:p>
    <w:p w14:paraId="C2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8. Результаты независимой оценки качества образовательных услуг</w:t>
      </w:r>
    </w:p>
    <w:p w14:paraId="C3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2025 году в рамках проведения независимой оценки качества образования (НОК ДОУ) были оценены 23 дошкольных организации (11 юридически самостоятельных и 12 структурных подразделений).</w:t>
      </w:r>
    </w:p>
    <w:p w14:paraId="C4000000">
      <w:pPr>
        <w:widowControl w:val="1"/>
        <w:spacing w:line="276" w:lineRule="auto"/>
        <w:ind w:firstLine="85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Итоговые показатели демонстрируют положительную динамику: индекс качества вырос на 1,65% по сравнению с предыдущим годом. Данный результат обусловлен реализацией комплекса мер по повышению качества услуг, включая модернизацию материально-технической базы и повышение квалификации педагогического состава.</w:t>
      </w:r>
    </w:p>
    <w:p w14:paraId="C5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9. Задачи на 2026–2027 учебный год:</w:t>
      </w:r>
    </w:p>
    <w:p w14:paraId="C6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достичь уровня освоения ОП ДО на высоком уровне не менее 60%;</w:t>
      </w:r>
    </w:p>
    <w:p w14:paraId="C7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снизить долю детей с низким уровнем освоения до 5%;</w:t>
      </w:r>
    </w:p>
    <w:p w14:paraId="C8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усилить методическую поддержку на уровне округа через проведение семинаров и взаимопосещений;</w:t>
      </w:r>
    </w:p>
    <w:p w14:paraId="C9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создать систему наставничества для молодых педагогов;</w:t>
      </w:r>
    </w:p>
    <w:p w14:paraId="CA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организовать системное обучение педагогов цифровым технологиям и работе с детьми с ОВЗ;</w:t>
      </w:r>
    </w:p>
    <w:p w14:paraId="CB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провести цикл мастер-классов по актуальным направлениям Федерального государственного образовательного стандарта дошкольного образования (ФГОС ДО);</w:t>
      </w:r>
    </w:p>
    <w:p w14:paraId="CC000000">
      <w:pPr>
        <w:widowControl w:val="1"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активизировать вовлечение родителей в образовательный процесс через совместные мероприятия и консультации.</w:t>
      </w:r>
    </w:p>
    <w:p w14:paraId="CD000000">
      <w:pPr>
        <w:widowControl w:val="1"/>
        <w:spacing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10. Заключение</w:t>
      </w:r>
    </w:p>
    <w:p w14:paraId="CE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дошкольного образования Пермского муниципального округа характеризуется неоднозначной динамикой: с одной стороны — увеличение охвата детей в раннем возрасте и успешная реализация инфраструктурных проектов, с другой — снижение качества освоения образовательных программ и возрастание нагрузки на отдельные территории.</w:t>
      </w:r>
    </w:p>
    <w:p w14:paraId="CF000000">
      <w:pPr>
        <w:widowControl w:val="1"/>
        <w:spacing w:line="276" w:lineRule="auto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стабилизации и улучшения ситуации необходимы системные меры в области кадрового обеспечения, методической поддержки, цифровизации и расширения инфраструктуры, а также усиление работы с семьями и детьми, нуждающимися в коррекционной помощи.</w:t>
      </w:r>
    </w:p>
    <w:p w14:paraId="D0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2026-06-15T09:23:49Z</dcterms:created>
  <dcterms:modified xsi:type="dcterms:W3CDTF">2026-07-13T08:28:11Z</dcterms:modified>
</cp:coreProperties>
</file>