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tabs>
          <w:tab w:val="clear" w:pos="720"/>
          <w:tab w:val="left" w:pos="60" w:leader="none"/>
        </w:tabs>
        <w:spacing w:lineRule="auto" w:line="240" w:before="0" w:after="0"/>
        <w:jc w:val="center"/>
        <w:rPr>
          <w:rFonts w:ascii="Times New Roman" w:hAnsi="Times New Roman"/>
          <w:color w:themeColor="text1" w:val="000000"/>
          <w:sz w:val="24"/>
        </w:rPr>
      </w:pPr>
      <w:r>
        <w:rPr>
          <w:rFonts w:ascii="Times New Roman" w:hAnsi="Times New Roman"/>
          <w:b/>
          <w:sz w:val="24"/>
        </w:rPr>
        <w:t xml:space="preserve">Кадровое обеспечение </w:t>
        <w:br/>
        <w:t>Пермского муници</w:t>
      </w:r>
      <w:r>
        <w:rPr>
          <w:rFonts w:ascii="Times New Roman" w:hAnsi="Times New Roman"/>
          <w:b/>
          <w:color w:themeColor="text1" w:val="000000"/>
          <w:sz w:val="24"/>
        </w:rPr>
        <w:t>пального округа в 2025-2026 учебном году</w:t>
      </w:r>
    </w:p>
    <w:p>
      <w:pPr>
        <w:pStyle w:val="Normal"/>
        <w:spacing w:lineRule="auto" w:line="240" w:before="0" w:after="0"/>
        <w:jc w:val="center"/>
        <w:rPr>
          <w:rFonts w:ascii="Times New Roman" w:hAnsi="Times New Roman"/>
          <w:b/>
          <w:color w:themeColor="text1" w:val="000000"/>
          <w:sz w:val="24"/>
          <w:highlight w:val="yellow"/>
        </w:rPr>
      </w:pPr>
      <w:r>
        <w:rPr>
          <w:rFonts w:ascii="Times New Roman" w:hAnsi="Times New Roman"/>
          <w:b/>
          <w:color w:themeColor="text1" w:val="000000"/>
          <w:sz w:val="24"/>
          <w:highlight w:val="yellow"/>
        </w:rPr>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Задачи на 2025-2026 учебный год:</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1.</w:t>
        <w:tab/>
        <w:t>развивать профессиональное взаимодействие с преподавателями высших учебных заведений с целью развития кадрового потенциала;</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3.</w:t>
        <w:tab/>
        <w:t>продолжить организацию мероприятий, позволяющих повысить уровень цифровой и функциональной грамотности педагогов;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4.</w:t>
        <w:tab/>
        <w:t>обеспечить методическое сопровождение по работе с одаренными детьми и вопросам преемственности дошкольного и начального уровней общего образования по сопровождению одаренных детей;</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5. продолжить работу по привлечению и удержанию молодых специалистов;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ab/>
        <w:t xml:space="preserve">6. усилить работу с образовательными организациями по выстраиванию внутренней системы работы с кадрами в рамках конкурсного сопровождения педагогов; </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 xml:space="preserve">7 </w:t>
        <w:tab/>
        <w:t>обеспечить консультационную поддержку педагогическим работникам при прохождении процедуры аттестации.</w:t>
      </w:r>
    </w:p>
    <w:p>
      <w:pPr>
        <w:pStyle w:val="Normal"/>
        <w:spacing w:lineRule="auto" w:line="240" w:before="0" w:after="0"/>
        <w:jc w:val="both"/>
        <w:rPr>
          <w:rFonts w:ascii="Times New Roman" w:hAnsi="Times New Roman"/>
          <w:color w:themeColor="text1" w:val="000000"/>
          <w:sz w:val="24"/>
        </w:rPr>
      </w:pPr>
      <w:r>
        <w:rPr>
          <w:rFonts w:ascii="Times New Roman" w:hAnsi="Times New Roman"/>
          <w:color w:themeColor="text1" w:val="000000"/>
          <w:sz w:val="24"/>
        </w:rPr>
      </w:r>
    </w:p>
    <w:p>
      <w:pPr>
        <w:pStyle w:val="Normal"/>
        <w:spacing w:lineRule="auto" w:line="240" w:before="0" w:after="0"/>
        <w:jc w:val="center"/>
        <w:rPr>
          <w:rFonts w:ascii="Times New Roman" w:hAnsi="Times New Roman"/>
          <w:color w:themeColor="text1" w:val="000000"/>
          <w:sz w:val="24"/>
        </w:rPr>
      </w:pPr>
      <w:r>
        <w:rPr>
          <w:rFonts w:ascii="Times New Roman" w:hAnsi="Times New Roman"/>
          <w:b/>
          <w:color w:themeColor="text1" w:val="000000"/>
          <w:sz w:val="24"/>
        </w:rPr>
        <w:t>Руководящие и педагогические работники системы образования</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Кадровое обеспечение системы образования Пермского муниципального округа в 2025–2026 учебном году представлено в таблице 1 на основе данных статистической отчётности ЕИАС «Монитор» (по состоянию на 01.07.2026 г.). Общая численность работников (физические лица, кроме совместителей) составляет 2951 человек, из них педагогических работников – 2062. В 2025-2026 учебном году наблюдается увеличение количества педагогических работников на 84 человека (4,1 %) в основном за счет увеличения количества педагогов реализующих программы начального общего, основного общего и среднего общего образования.</w:t>
      </w:r>
    </w:p>
    <w:p>
      <w:pPr>
        <w:pStyle w:val="Normal"/>
        <w:spacing w:lineRule="auto" w:line="240" w:before="0" w:after="0"/>
        <w:ind w:firstLine="709"/>
        <w:jc w:val="both"/>
        <w:rPr>
          <w:color w:themeColor="text1" w:val="000000"/>
        </w:rPr>
      </w:pPr>
      <w:r>
        <w:rPr>
          <w:color w:themeColor="text1" w:val="000000"/>
        </w:rPr>
      </w:r>
    </w:p>
    <w:p>
      <w:pPr>
        <w:pStyle w:val="Normal"/>
        <w:spacing w:lineRule="auto" w:line="240" w:before="0" w:after="0"/>
        <w:jc w:val="center"/>
        <w:rPr>
          <w:rFonts w:ascii="Times New Roman" w:hAnsi="Times New Roman"/>
          <w:color w:themeColor="text1" w:val="000000"/>
          <w:sz w:val="24"/>
        </w:rPr>
      </w:pPr>
      <w:r>
        <w:rPr>
          <w:rFonts w:ascii="Times New Roman" w:hAnsi="Times New Roman"/>
          <w:i/>
          <w:color w:themeColor="text1" w:val="000000"/>
          <w:sz w:val="24"/>
        </w:rPr>
        <w:t xml:space="preserve">Таблица 1. Кадровое обеспечение системы образования </w:t>
        <w:br/>
        <w:t>Пермского муниципального округа.</w:t>
      </w:r>
    </w:p>
    <w:tbl>
      <w:tblPr>
        <w:tblW w:w="9581"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4201"/>
        <w:gridCol w:w="1769"/>
        <w:gridCol w:w="1781"/>
        <w:gridCol w:w="1829"/>
      </w:tblGrid>
      <w:tr>
        <w:trPr>
          <w:trHeight w:val="842"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Наименование</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olor w:themeColor="text1" w:val="000000"/>
                <w:sz w:val="24"/>
              </w:rPr>
            </w:pPr>
            <w:r>
              <w:rPr>
                <w:rFonts w:ascii="Times New Roman" w:hAnsi="Times New Roman"/>
                <w:color w:themeColor="text1" w:val="000000"/>
                <w:sz w:val="24"/>
              </w:rPr>
              <w:t xml:space="preserve">2023-2024 </w:t>
              <w:br/>
              <w:t>уч. год</w:t>
            </w:r>
          </w:p>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(чел.)</w:t>
            </w:r>
          </w:p>
        </w:tc>
        <w:tc>
          <w:tcPr>
            <w:tcW w:w="1781" w:type="dxa"/>
            <w:tcBorders>
              <w:top w:val="single" w:sz="4" w:space="0" w:color="000000"/>
              <w:left w:val="single" w:sz="4" w:space="0" w:color="000000"/>
              <w:bottom w:val="single" w:sz="4" w:space="0" w:color="000000"/>
            </w:tcBorders>
            <w:vAlign w:val="center"/>
          </w:tcPr>
          <w:p>
            <w:pPr>
              <w:pStyle w:val="Normal"/>
              <w:jc w:val="center"/>
              <w:rPr>
                <w:rFonts w:ascii="Times New Roman" w:hAnsi="Times New Roman"/>
                <w:color w:themeColor="text1" w:val="000000"/>
                <w:sz w:val="24"/>
              </w:rPr>
            </w:pPr>
            <w:r>
              <w:rPr>
                <w:rFonts w:ascii="Times New Roman" w:hAnsi="Times New Roman"/>
                <w:color w:themeColor="text1" w:val="000000"/>
                <w:sz w:val="24"/>
              </w:rPr>
              <w:t xml:space="preserve">2024-2025 </w:t>
              <w:br/>
              <w:t>уч. год</w:t>
            </w:r>
          </w:p>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(чел.)</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color w:themeColor="text1" w:val="000000"/>
                <w:sz w:val="24"/>
              </w:rPr>
            </w:pPr>
            <w:r>
              <w:rPr>
                <w:rFonts w:ascii="Times New Roman" w:hAnsi="Times New Roman"/>
                <w:color w:themeColor="text1" w:val="000000"/>
                <w:sz w:val="24"/>
              </w:rPr>
              <w:t xml:space="preserve">2025-2026 </w:t>
              <w:br/>
              <w:t>уч. год</w:t>
            </w:r>
          </w:p>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(чел.)</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Руководящие работники</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99</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99</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99</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Педагогические работники:</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1916</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1978 (+62)</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2062 (+84)</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Реализующих программы дошкольного образования</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782 (+47)</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765 (-17)</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784 (+19)</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Реализующих программы начального общего, основного общего и среднего общего образования</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1075 (+24)</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1154 (+79)</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1213 (+59)</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Реализующие программы дополнительного образования</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59 (+8)</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59</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65 (+6)</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Учителя</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884 (-2)</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945 (+61)</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992 (+47)</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Воспитатели ДОУ, включая старших воспитателей и методистов</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615 (+18)</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596 (-19)</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603 (+7)</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Социально-педагогическая служба</w:t>
              <w:br/>
              <w:t xml:space="preserve"> (учителя-логопеды, учителя-дефектологи, педагоги-психологи, социальные педагоги)</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204 (+21)</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215 (+11)</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236 (+21)</w:t>
            </w:r>
          </w:p>
        </w:tc>
      </w:tr>
      <w:tr>
        <w:trPr>
          <w:trHeight w:val="624" w:hRule="atLeast"/>
        </w:trPr>
        <w:tc>
          <w:tcPr>
            <w:tcW w:w="4201"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rPr>
                <w:rFonts w:ascii="Times New Roman" w:hAnsi="Times New Roman"/>
                <w:color w:themeColor="text1" w:val="000000"/>
                <w:sz w:val="24"/>
              </w:rPr>
            </w:pPr>
            <w:r>
              <w:rPr>
                <w:rFonts w:ascii="Times New Roman" w:hAnsi="Times New Roman"/>
                <w:color w:themeColor="text1" w:val="000000"/>
                <w:sz w:val="24"/>
              </w:rPr>
              <w:t>Иные педагогические работники</w:t>
            </w:r>
          </w:p>
        </w:tc>
        <w:tc>
          <w:tcPr>
            <w:tcW w:w="176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153 (+17)</w:t>
            </w:r>
          </w:p>
        </w:tc>
        <w:tc>
          <w:tcPr>
            <w:tcW w:w="1781" w:type="dxa"/>
            <w:tcBorders>
              <w:top w:val="single" w:sz="4" w:space="0" w:color="000000"/>
              <w:left w:val="single" w:sz="4" w:space="0" w:color="000000"/>
              <w:bottom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195 (+42)</w:t>
            </w:r>
          </w:p>
        </w:tc>
        <w:tc>
          <w:tcPr>
            <w:tcW w:w="1829"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160"/>
              <w:jc w:val="center"/>
              <w:rPr>
                <w:rFonts w:ascii="Times New Roman" w:hAnsi="Times New Roman"/>
                <w:color w:themeColor="text1" w:val="000000"/>
                <w:sz w:val="24"/>
              </w:rPr>
            </w:pPr>
            <w:r>
              <w:rPr>
                <w:rFonts w:ascii="Times New Roman" w:hAnsi="Times New Roman"/>
                <w:color w:themeColor="text1" w:val="000000"/>
                <w:sz w:val="24"/>
              </w:rPr>
              <w:t>231 (+36)</w:t>
            </w:r>
          </w:p>
        </w:tc>
      </w:tr>
    </w:tbl>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Вывод по разделу:</w:t>
      </w:r>
      <w:r>
        <w:rPr>
          <w:rFonts w:ascii="Times New Roman" w:hAnsi="Times New Roman"/>
          <w:color w:themeColor="text1" w:val="000000"/>
          <w:sz w:val="24"/>
        </w:rPr>
        <w:t xml:space="preserve"> кадровый состав системы образования округа демонстрирует устойчивый рост численности педагогических работников, что свидетельствует о сохранении привлекательности профессии и наличии кадрового резерва. Наиболее значительный прирост отмечен по категориям «учителя» и «социально-педагогическая служба», что соответствует приоритетам развития школьного образования и усиления психолого-педагогического сопровождения. Руководящий корпус сохраняет стабильную численность, что обеспечивает преемственность управленческих решений.</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Рекомендации:</w:t>
      </w:r>
      <w:r>
        <w:rPr>
          <w:rFonts w:ascii="Times New Roman" w:hAnsi="Times New Roman"/>
          <w:color w:themeColor="text1" w:val="000000"/>
          <w:sz w:val="24"/>
        </w:rPr>
        <w:t xml:space="preserve"> руководителям образовательных организаций продолжить работу по привлечению молодых специалистов в систему образования, уделяя особое внимание дошкольным учреждениям; усилить работу по формированию кадрового резерва и повышению квалификации педагогических работников в соответствии с выявленными профессиональными дефицитами.</w:t>
      </w:r>
    </w:p>
    <w:p>
      <w:pPr>
        <w:pStyle w:val="Normal"/>
        <w:spacing w:lineRule="auto" w:line="240" w:before="0" w:after="0"/>
        <w:ind w:firstLine="709"/>
        <w:jc w:val="both"/>
        <w:rPr>
          <w:rFonts w:ascii="Times New Roman" w:hAnsi="Times New Roman"/>
          <w:color w:themeColor="text1" w:val="000000"/>
          <w:sz w:val="24"/>
          <w:highlight w:val="yellow"/>
        </w:rPr>
      </w:pPr>
      <w:r>
        <w:rPr>
          <w:rFonts w:ascii="Times New Roman" w:hAnsi="Times New Roman"/>
          <w:color w:themeColor="text1" w:val="000000"/>
          <w:sz w:val="24"/>
          <w:highlight w:val="yellow"/>
        </w:rPr>
      </w:r>
    </w:p>
    <w:p>
      <w:pPr>
        <w:pStyle w:val="Normal"/>
        <w:spacing w:lineRule="auto" w:line="240" w:before="0" w:after="0"/>
        <w:jc w:val="center"/>
        <w:rPr>
          <w:rFonts w:ascii="Times New Roman" w:hAnsi="Times New Roman"/>
          <w:color w:themeColor="text1" w:val="000000"/>
          <w:sz w:val="24"/>
        </w:rPr>
      </w:pPr>
      <w:r>
        <w:rPr>
          <w:rFonts w:ascii="Times New Roman" w:hAnsi="Times New Roman"/>
          <w:b/>
          <w:color w:themeColor="text1" w:val="000000"/>
          <w:sz w:val="24"/>
        </w:rPr>
        <w:t>Структура методического пространства</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Главной структурой, организующей методическую работу педагогов Пермского муниципального округа, является окружное методическое объединение. Это коллективный орган, способствующий повышению профессиональной мотивации, методической культуры педагогических работников и развитию их творческого потенциала.</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 2025–2026 учебном году методическая работа педагогов округа строилась через деятельность окружных методических объединений (ОМО) и проблемных групп. На основании приказа начальника управления образования от 29.08.2025 № 258 и изменений к нему (приказ № 12 от 21.01.2026) была организована работа 31 окружного методического объединения, в том числе 5 объединений «Учитель+», а также рабочие и проблемные группы.</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Кураторами ОМО выступили сотрудники МКУ «Центр развития образования», МАОУ ДО «Детско-юношеский центр «Импульс» и МАУ ДО « Спортивная школа «Вихрь». Руководителями назначены педагоги и методисты, имеющие высокие профессиональные результаты.</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В число руководителей вошли специалисты МАДОУ «Платошинский детский сад «Солнышко», МАДОУ «Лобановский детский сад «Солнечный город», МАДОУ «Савинский детский сад «Мечтатели», МАДОУ «Култаевский детский сад «Колокольчик», МАДОУ «Кондратовский детский сад «Акварельки», МАДОУ «Култаевский детский сад «Егоза», МАДОУ «Сылвенский детский сад «Рябинка», МАОУ «Бершетская средняя школа», МАОУ «Гамовская средняя школа «Алгоритм», МАОУ «Конзаводская средняя школа им. В.К. Блюхера», МАОУ «Култаевская средняя школа «Интеграция», МАОУ «Лобановская средняя школа «Вектор успеха», МАОУ «Мулянская средняя школа», МАОУ «Нижнемуллинская средняя школа», МАОУ «Платошинская средняя школа», МАОУ «Савинская средняя школа», МАОУ «Сылвенская средняя школа имени В. Каменского», МАОУ «Усть-Качкинская средняя школа», МАОУ «Фроловская средняя школа «Навигатор», МАОУ «Юговская средняя школа», МАОУ «Юго-Камская средняя школа», МАОУ ДО «Детско-юношеский центр «Импульс», МАУ ДО «Спортивная школа «Вихрь».</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 рамках методического пространства выделены следующие блоки:</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1. Школьные ОМО (4 объединения) – учителей английского языка, химии, географии и начальных классов. Проведено 16 заседаний, охвачено 112 уникальных педагогов.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2. ОМО и проблемные группы ДОО (9 объединений) – ранний возраст, учителя-логопеды, гражданско-патриотическое воспитание, инструкторы по физической культуре, музыкальные руководители, работа с детьми с ОВЗ, взаимодействие с семьями, робототехника, «Методист+». Проведено 34 заседания (31 очное, 3 дистанционных), охвачено около 300 педагогов, общее число регистраций – более 400, более 150 выступлений.</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3. Приоритетные методические проекты «Учитель+» – по физике, обществознанию, биологии, математике, русскому языку (подробнее в следующем разделе).</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 xml:space="preserve">4. Иные профессиональные объединения – например, ОМО социально-психологической службы и ОМО «КЛАССный классный» (классные руководители). </w:t>
        <w:tab/>
        <w:t xml:space="preserve">Логика составления и реализации плана работы окружных методических объединений предусматривала этапность (от актуализации теоретического содержания к практическим аспектам) и трансляцию передового педагогического опыта. Наиболее активно транслировали практику педагоги данных образовательных учреждений: МАДОУ «Култаевский детский сад «Колокольчик», МАДОУ «Лобановский детский сад «Солнечный город», МАДОУ «Гамовский детский сад «Мозаика», МАДОУ «Кондратовский детский сад «Акварельки», МАОУ «Култаевская средняя школа «Интеграция», МАОУ «Фроловская средняя школа «Навигатор», МАОУ «Савинская средняя школа». </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 xml:space="preserve">В деятельности ОМО приняли участие 100% образовательных организаций округа, что свидетельствует о полном охвате учреждений методической поддержкой. </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 xml:space="preserve">Из 2062 педагогических работников (по данным статистической отчетности ЕИАС «Монитор» на 01.07.2026 г.) участниками узконаправленных окружных методических объединений стали </w:t>
      </w:r>
      <w:r>
        <w:rPr>
          <w:rFonts w:ascii="Times New Roman" w:hAnsi="Times New Roman"/>
          <w:color w:themeColor="text1" w:val="000000"/>
          <w:sz w:val="24"/>
          <w:shd w:fill="auto" w:val="clear"/>
        </w:rPr>
        <w:t xml:space="preserve">974 </w:t>
      </w:r>
      <w:r>
        <w:rPr>
          <w:rFonts w:ascii="Times New Roman" w:hAnsi="Times New Roman"/>
          <w:color w:themeColor="text1" w:val="000000"/>
          <w:sz w:val="24"/>
        </w:rPr>
        <w:t xml:space="preserve">педагогических работника и 163 (- 6) педагога объединений «Учитель+», доля составила </w:t>
      </w:r>
      <w:r>
        <w:rPr>
          <w:rFonts w:ascii="Times New Roman" w:hAnsi="Times New Roman"/>
          <w:color w:themeColor="text1" w:val="000000"/>
          <w:sz w:val="24"/>
          <w:shd w:fill="auto" w:val="clear"/>
        </w:rPr>
        <w:t>50,3%.</w:t>
      </w:r>
      <w:r>
        <w:rPr>
          <w:rFonts w:ascii="Times New Roman" w:hAnsi="Times New Roman"/>
          <w:color w:themeColor="text1" w:val="000000"/>
          <w:sz w:val="24"/>
        </w:rPr>
        <w:t xml:space="preserve"> По итогам работы ОМО </w:t>
      </w:r>
      <w:r>
        <w:rPr>
          <w:rFonts w:ascii="Times New Roman" w:hAnsi="Times New Roman"/>
          <w:color w:themeColor="text1" w:val="000000"/>
          <w:sz w:val="24"/>
          <w:shd w:fill="auto" w:val="clear"/>
        </w:rPr>
        <w:t>897</w:t>
      </w:r>
      <w:r>
        <w:rPr>
          <w:rFonts w:ascii="Times New Roman" w:hAnsi="Times New Roman"/>
          <w:color w:themeColor="text1" w:val="000000"/>
          <w:sz w:val="24"/>
        </w:rPr>
        <w:t xml:space="preserve"> педагогов получили сертификаты участников (посетили не менее 75% запланированных встреч). Кроме того, выдан 621 </w:t>
      </w:r>
      <w:r>
        <w:rPr>
          <w:rFonts w:ascii="Times New Roman" w:hAnsi="Times New Roman"/>
          <w:color w:themeColor="text1" w:val="000000"/>
          <w:sz w:val="24"/>
          <w:shd w:fill="auto" w:val="clear"/>
        </w:rPr>
        <w:t>(69,2%) с</w:t>
      </w:r>
      <w:r>
        <w:rPr>
          <w:rFonts w:ascii="Times New Roman" w:hAnsi="Times New Roman"/>
          <w:color w:themeColor="text1" w:val="000000"/>
          <w:sz w:val="24"/>
        </w:rPr>
        <w:t>ертификат о трансляции опыта (сертификат выступающего). При этом уникальное число педагогов, которые выступали на заседаниях ОМО, - 429 человек.</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 xml:space="preserve">В целом, работу профессиональных методических объединений Пермского муниципального округа в 2025-2026 учебном году можно считать удовлетворительной. Она характеризуется широким охватом учреждений и значительным вовлечением педагогов, имеет четкую структуру и дифференцированные формы, направленные на повышение квалификации и обмен опытом. Большинство заседаний носили практико-ориентированный характер (открытые занятия, мастер-классы, тренинги, квесты, выездные стажировки). Создано более 20 методических продуктов (сборники, кейсы, банки заданий, алгоритмы, чек-листы), которые размещены в облачных хранилищах и доступны для использования педагогами. Уровень удовлетворённости участников по всем ОМО составил от 4,7 до 4,9 баллов из 5 (по данным анкетирования). Тем не менее сохраняется потребность в расширении выездных форм работы, усилении адресной поддержки молодых специалистов и углублении практик работы с детьми с ОВЗ и одарёнными детьми. </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 xml:space="preserve">Вывод по разделу: методическое пространство округа представляет собой многоуровневую и дифференцированную систему, охватывающую все категории педагогических работников и обеспечивающую их профессиональное развитие. Высокий уровень удовлетворённости участников и значительное количество созданных методических продуктов свидетельствуют о востребованности и эффективности предлагаемых форм работы. Вместе с тем сохраняется резерв для повышения охвата педагогов (доля вовлечённых составляет </w:t>
      </w:r>
      <w:r>
        <w:rPr>
          <w:rFonts w:ascii="Times New Roman" w:hAnsi="Times New Roman"/>
          <w:color w:themeColor="text1" w:val="000000"/>
          <w:sz w:val="24"/>
          <w:shd w:fill="auto" w:val="clear"/>
        </w:rPr>
        <w:t>50,3 %)</w:t>
      </w:r>
      <w:r>
        <w:rPr>
          <w:rFonts w:ascii="Times New Roman" w:hAnsi="Times New Roman"/>
          <w:color w:themeColor="text1" w:val="000000"/>
          <w:sz w:val="24"/>
        </w:rPr>
        <w:t xml:space="preserve"> и усиления адресной работы с отдельными категориями специалистов.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Рекомендации: руководителям ОМО и кураторам методических объединений продолжить работу по вовлечению в деятельность объединений педагогов, не охваченных методической поддержкой; расширить практику выездных заседаний и стажировок на базе образовательных организаций-лидеров; усилить адресную работу с молодыми специалистами и педагогами, работающими с детьми с ОВЗ и одарёнными детьми; обеспечить систематизацию и широкий доступ к созданным методическим продуктам через официальный сайт МКУ «Центр развития образования».</w:t>
      </w:r>
    </w:p>
    <w:p>
      <w:pPr>
        <w:pStyle w:val="Normal"/>
        <w:spacing w:lineRule="auto" w:line="240" w:before="0" w:after="0"/>
        <w:ind w:firstLine="709"/>
        <w:jc w:val="center"/>
        <w:rPr>
          <w:rFonts w:ascii="Times New Roman" w:hAnsi="Times New Roman"/>
          <w:b/>
          <w:color w:themeColor="text1" w:val="000000"/>
          <w:sz w:val="24"/>
          <w:highlight w:val="yellow"/>
        </w:rPr>
      </w:pPr>
      <w:r>
        <w:rPr>
          <w:rFonts w:ascii="Times New Roman" w:hAnsi="Times New Roman"/>
          <w:b/>
          <w:color w:themeColor="text1" w:val="000000"/>
          <w:sz w:val="24"/>
          <w:highlight w:val="yellow"/>
        </w:rPr>
      </w:r>
    </w:p>
    <w:p>
      <w:pPr>
        <w:pStyle w:val="Normal"/>
        <w:spacing w:lineRule="auto" w:line="240" w:before="0" w:after="0"/>
        <w:jc w:val="center"/>
        <w:rPr>
          <w:rFonts w:ascii="Times New Roman" w:hAnsi="Times New Roman"/>
          <w:color w:themeColor="text1" w:val="000000"/>
          <w:sz w:val="24"/>
        </w:rPr>
      </w:pPr>
      <w:r>
        <w:rPr>
          <w:rFonts w:ascii="Times New Roman" w:hAnsi="Times New Roman"/>
          <w:b/>
          <w:color w:themeColor="text1" w:val="000000"/>
          <w:sz w:val="24"/>
        </w:rPr>
        <w:t>Приоритетные методические проекты</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 2025–2026 учебном году продолжена реализация проекта «Учитель+» по предметам, по которым в течение нескольких лет наблюдается снижение результатов внешних мониторингов (ОГЭ, ЕГЭ): физика, обществознание, биология, математика, русский язык.</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Цель проекта – развитие профессиональной компетентности педагогов через адресную работу с актуальными изменениями в содержании и процедурах государственной итоговой аттестации, а также через методическую поддержку учителей-предметников.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 рамках проекта в 2025–2026 учебном году диагностика предметных дефицитов педагогов не проводилась. Работа строилась на основе выявленных в предыдущие периоды проблемных зон, а также с учётом запросов, поступивших от самих учителей в ходе методических встреч. На заседаниях объединений «Учитель+» разбирались типичные ошибки обучающихся, актуальные критерии оценивания экзаменационных работ, решались задачи повышенной сложности.</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Педагоги всех направлений единодушно запрашивали практико-ориентированные форматы работы – мастер-классы и семинары-практикумы, а также наличие готовых раздаточных материалов, которые можно сразу использовать на уроках и консультациях. Это подтверждает, что наиболее востребованными остаются активные, деятельностные формы повышения квалификации, а не пассивное прослушивание лекций. В связи с этим в плане работы на следующий учебный год предусмотрено рассмотрение вопроса об увеличении продолжительности каждого заседания до 4 часов (вместо 2), что позволит более полноценно отрабатывать практические задания и детально анализировать критерии оценивания.</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Одним из ключевых запросов педагогов стала необходимость дифференциации содержания встреч. Особенно остро этот вопрос стоит в математическом объединении и объединении учителей русского языка, где учителя, работающие в 9-х и 11-х классах, сталкиваются с принципиально разными форматами экзаменов и требуют раздельных потоков. Однако и по другим предметам актуально учитывать уровень подготовки педагогов: для молодых специалистов необходима базовая методическая поддержка и наставничество, для опытных – углублённый разбор сложных заданий и экспертных подходов.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Кроме того, педагоги физики обозначили проблему «эффективных коммуникаций с современными детьми», что свидетельствует о запросе на психолого-педагогическую поддержку. В связи с этим плане работы на следующий учебный год предусмотрено  рассмотрение вопроса о проведении тренингов, направленных на работу с низкомотивированными учащимися и профилактику профессионального выгорания педагогов, с возможным привлечением педагогов-психологов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 целом работу приоритетных проектов «Учитель+» в 2025–2026 учебном году можно признать продуктивной и востребованной. Основные направления развития на следующий  год – углубление практической отработки критериев оценивания, дифференциация содержания по уровням обучения, а также усиление организационной составляющей (работа в малых группах, рассмотрение возможности увеличения времени встреч и включения тренингов с психологами).</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Детализированные по образовательным учреждениям статистические данные представлены в Таблице. Статистические данные посещения окружных методических объединений «Учитель +»:</w:t>
      </w:r>
    </w:p>
    <w:p>
      <w:pPr>
        <w:pStyle w:val="Normal"/>
        <w:spacing w:lineRule="auto" w:line="240" w:before="0" w:after="0"/>
        <w:ind w:firstLine="709"/>
        <w:jc w:val="center"/>
        <w:rPr>
          <w:rFonts w:ascii="Times New Roman" w:hAnsi="Times New Roman" w:cs="Times New Roman"/>
          <w:color w:themeColor="text1" w:val="000000"/>
          <w:sz w:val="24"/>
          <w:szCs w:val="24"/>
        </w:rPr>
      </w:pPr>
      <w:r>
        <w:rPr>
          <w:rFonts w:cs="Times New Roman" w:ascii="Times New Roman" w:hAnsi="Times New Roman"/>
          <w:i/>
          <w:color w:themeColor="text1" w:val="000000"/>
          <w:sz w:val="24"/>
          <w:szCs w:val="24"/>
        </w:rPr>
        <w:t xml:space="preserve">Таблица. Статистические данные посещения окружных методических объединений «Учитель +» </w:t>
      </w:r>
      <w:r>
        <w:rPr>
          <w:rStyle w:val="Emphasis"/>
          <w:rFonts w:cs="Times New Roman" w:ascii="Times New Roman" w:hAnsi="Times New Roman"/>
          <w:color w:val="0F1115"/>
          <w:sz w:val="24"/>
          <w:szCs w:val="24"/>
          <w:shd w:fill="FFFFFF" w:val="clear"/>
        </w:rPr>
        <w:t>(средний процент посещаемости).</w:t>
      </w:r>
    </w:p>
    <w:tbl>
      <w:tblPr>
        <w:tblW w:w="9556" w:type="dxa"/>
        <w:jc w:val="left"/>
        <w:tblInd w:w="30" w:type="dxa"/>
        <w:tblLayout w:type="fixed"/>
        <w:tblCellMar>
          <w:top w:w="0" w:type="dxa"/>
          <w:left w:w="108" w:type="dxa"/>
          <w:bottom w:w="0" w:type="dxa"/>
          <w:right w:w="108" w:type="dxa"/>
        </w:tblCellMar>
        <w:tblLook w:val="0000" w:noHBand="0" w:noVBand="0" w:firstColumn="0" w:lastRow="0" w:lastColumn="0" w:firstRow="0"/>
      </w:tblPr>
      <w:tblGrid>
        <w:gridCol w:w="2321"/>
        <w:gridCol w:w="1206"/>
        <w:gridCol w:w="1206"/>
        <w:gridCol w:w="1207"/>
        <w:gridCol w:w="1205"/>
        <w:gridCol w:w="1205"/>
        <w:gridCol w:w="1205"/>
      </w:tblGrid>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themeColor="text1" w:val="000000"/>
                <w:sz w:val="24"/>
              </w:rPr>
            </w:pPr>
            <w:r>
              <w:rPr>
                <w:rFonts w:ascii="Times New Roman" w:hAnsi="Times New Roman"/>
                <w:color w:themeColor="text1" w:val="000000"/>
                <w:sz w:val="24"/>
              </w:rPr>
              <w:t>ОО</w:t>
            </w:r>
          </w:p>
        </w:tc>
        <w:tc>
          <w:tcPr>
            <w:tcW w:w="120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themeColor="text1" w:val="000000"/>
                <w:sz w:val="24"/>
              </w:rPr>
            </w:pPr>
            <w:r>
              <w:rPr>
                <w:rFonts w:ascii="Times New Roman" w:hAnsi="Times New Roman"/>
                <w:color w:themeColor="text1" w:val="000000"/>
                <w:sz w:val="24"/>
              </w:rPr>
              <w:t>Я-учитель физики</w:t>
            </w:r>
          </w:p>
        </w:tc>
        <w:tc>
          <w:tcPr>
            <w:tcW w:w="1206"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themeColor="text1" w:val="000000"/>
                <w:sz w:val="24"/>
              </w:rPr>
            </w:pPr>
            <w:r>
              <w:rPr>
                <w:rFonts w:ascii="Times New Roman" w:hAnsi="Times New Roman"/>
                <w:color w:themeColor="text1" w:val="000000"/>
                <w:sz w:val="24"/>
              </w:rPr>
              <w:t>Я-учитель обществознания</w:t>
            </w:r>
          </w:p>
        </w:tc>
        <w:tc>
          <w:tcPr>
            <w:tcW w:w="12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themeColor="text1" w:val="000000"/>
                <w:sz w:val="24"/>
              </w:rPr>
            </w:pPr>
            <w:r>
              <w:rPr>
                <w:rFonts w:ascii="Times New Roman" w:hAnsi="Times New Roman"/>
                <w:color w:themeColor="text1" w:val="000000"/>
                <w:sz w:val="24"/>
              </w:rPr>
              <w:t>Я-учитель биологии</w:t>
            </w:r>
          </w:p>
        </w:tc>
        <w:tc>
          <w:tcPr>
            <w:tcW w:w="1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themeColor="text1" w:val="000000"/>
                <w:sz w:val="24"/>
              </w:rPr>
            </w:pPr>
            <w:r>
              <w:rPr>
                <w:rFonts w:ascii="Times New Roman" w:hAnsi="Times New Roman"/>
                <w:color w:themeColor="text1" w:val="000000"/>
                <w:sz w:val="24"/>
              </w:rPr>
              <w:t>Я-учитель математики</w:t>
            </w:r>
          </w:p>
        </w:tc>
        <w:tc>
          <w:tcPr>
            <w:tcW w:w="120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themeColor="text1" w:val="000000"/>
                <w:sz w:val="24"/>
              </w:rPr>
            </w:pPr>
            <w:r>
              <w:rPr>
                <w:rFonts w:ascii="Times New Roman" w:hAnsi="Times New Roman"/>
                <w:color w:themeColor="text1" w:val="000000"/>
                <w:sz w:val="24"/>
              </w:rPr>
              <w:t>Я-учитель русского языка</w:t>
            </w:r>
          </w:p>
        </w:tc>
        <w:tc>
          <w:tcPr>
            <w:tcW w:w="1205" w:type="dxa"/>
            <w:tcBorders>
              <w:top w:val="single" w:sz="4" w:space="0" w:color="000000"/>
              <w:left w:val="single" w:sz="4" w:space="0" w:color="000000"/>
              <w:bottom w:val="single" w:sz="8" w:space="0" w:color="000000"/>
              <w:right w:val="single" w:sz="4" w:space="0" w:color="000000"/>
            </w:tcBorders>
            <w:shd w:color="auto" w:fill="auto" w:val="clear"/>
            <w:vAlign w:val="center"/>
          </w:tcPr>
          <w:p>
            <w:pPr>
              <w:pStyle w:val="Normal"/>
              <w:spacing w:lineRule="auto" w:line="240" w:before="0" w:after="0"/>
              <w:jc w:val="center"/>
              <w:rPr>
                <w:rFonts w:ascii="Times New Roman" w:hAnsi="Times New Roman"/>
                <w:color w:themeColor="text1" w:val="000000"/>
                <w:sz w:val="24"/>
              </w:rPr>
            </w:pPr>
            <w:r>
              <w:rPr>
                <w:rFonts w:ascii="Times New Roman" w:hAnsi="Times New Roman"/>
                <w:color w:themeColor="text1" w:val="000000"/>
                <w:sz w:val="24"/>
              </w:rPr>
              <w:t>Общий</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lineRule="auto" w:line="240" w:before="0" w:after="0"/>
              <w:rPr>
                <w:rFonts w:ascii="Times New Roman" w:hAnsi="Times New Roman"/>
                <w:color w:themeColor="text1" w:val="000000"/>
                <w:sz w:val="24"/>
              </w:rPr>
            </w:pPr>
            <w:r>
              <w:rPr>
                <w:rFonts w:ascii="Times New Roman" w:hAnsi="Times New Roman"/>
                <w:color w:themeColor="text1" w:val="000000"/>
                <w:sz w:val="24"/>
              </w:rPr>
              <w:t>МАОУ «Бабкинская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67</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75</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67</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73</w:t>
            </w:r>
          </w:p>
        </w:tc>
      </w:tr>
      <w:tr>
        <w:trPr>
          <w:trHeight w:val="577"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«Бершетская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«Гамовская средняя школа «Алгоритм»</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97</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«Кондратовская средняя школа «Патриот»</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50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50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77</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«Кондратовская средняя школа «Сфера»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97</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«Конзаводская средняя школа им. В.К. Блюхера»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62</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75</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67</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73</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«Култаевская средняя школа «Интеграция»</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94</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86</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96</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«Лобановская средняя школа «Вектор успеха»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17</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95</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92</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73</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«Мулянская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75</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86</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«Нижнемуллинская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93</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«Платошинская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67</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75</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82</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«Савинская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89</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98</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«Сылвенская средняя школа им. поэта В. Каменского»</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87</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92</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88</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«Усть-Качкинская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86</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«Фроловская средняя школа «Навигатор»</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67</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93</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«Юговская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75</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75</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r>
      <w:tr>
        <w:trPr>
          <w:trHeight w:val="20" w:hRule="atLeast"/>
        </w:trPr>
        <w:tc>
          <w:tcPr>
            <w:tcW w:w="232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spacing w:before="0" w:after="160"/>
              <w:rPr>
                <w:rFonts w:ascii="Times New Roman" w:hAnsi="Times New Roman"/>
                <w:color w:themeColor="text1" w:val="000000"/>
              </w:rPr>
            </w:pPr>
            <w:r>
              <w:rPr>
                <w:rFonts w:ascii="Times New Roman" w:hAnsi="Times New Roman"/>
                <w:color w:themeColor="text1" w:val="000000"/>
              </w:rPr>
              <w:t>МАОУ «Юго-Камская средняя школа»</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6"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7"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83</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100</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92</w:t>
            </w:r>
          </w:p>
        </w:tc>
        <w:tc>
          <w:tcPr>
            <w:tcW w:w="1205" w:type="dxa"/>
            <w:tcBorders>
              <w:top w:val="single" w:sz="6" w:space="0" w:color="000000"/>
              <w:left w:val="single" w:sz="6" w:space="0" w:color="000000"/>
              <w:bottom w:val="single" w:sz="6" w:space="0" w:color="000000"/>
              <w:right w:val="single" w:sz="6" w:space="0" w:color="000000"/>
            </w:tcBorders>
            <w:vAlign w:val="center"/>
          </w:tcPr>
          <w:p>
            <w:pPr>
              <w:pStyle w:val="Normal"/>
              <w:spacing w:before="120" w:after="120"/>
              <w:ind w:left="120" w:right="120"/>
              <w:jc w:val="center"/>
              <w:rPr>
                <w:rFonts w:ascii="Times New Roman" w:hAnsi="Times New Roman"/>
                <w:color w:themeColor="text1" w:val="000000"/>
                <w:sz w:val="24"/>
              </w:rPr>
            </w:pPr>
            <w:r>
              <w:rPr>
                <w:rFonts w:ascii="Times New Roman" w:hAnsi="Times New Roman"/>
                <w:color w:themeColor="text1" w:val="000000"/>
                <w:sz w:val="24"/>
              </w:rPr>
              <w:t>95</w:t>
            </w:r>
          </w:p>
        </w:tc>
      </w:tr>
    </w:tbl>
    <w:p>
      <w:pPr>
        <w:pStyle w:val="Normal"/>
        <w:ind w:firstLine="720"/>
        <w:jc w:val="both"/>
        <w:rPr/>
      </w:pPr>
      <w:r>
        <w:rPr>
          <w:rFonts w:cs="Times New Roman" w:ascii="Times New Roman" w:hAnsi="Times New Roman"/>
          <w:color w:themeColor="text1" w:val="000000"/>
          <w:sz w:val="24"/>
          <w:szCs w:val="24"/>
        </w:rPr>
        <w:t>Наряду с проектами предметной направленности («Учитель+») и конкурсным движением, значимое место в методической работе занимает проект «Школа доброжелательных отношений», направленный на формирование психологически безопасной и комфортной образовательной среды.</w:t>
      </w:r>
    </w:p>
    <w:p>
      <w:pPr>
        <w:pStyle w:val="Normal"/>
        <w:ind w:firstLine="720"/>
        <w:jc w:val="both"/>
        <w:rPr/>
      </w:pPr>
      <w:r>
        <w:rPr>
          <w:rFonts w:cs="Times New Roman" w:ascii="Times New Roman" w:hAnsi="Times New Roman"/>
          <w:color w:themeColor="text1" w:val="000000"/>
          <w:sz w:val="24"/>
          <w:szCs w:val="24"/>
        </w:rPr>
        <w:t xml:space="preserve">Проект «Школа доброжелательных отношений» реализуется в системе образования Пермского муниципального округа с 2024 года и является одним из основных инструментов работы по созданию безопасной и психологически комфортной образовательной среды. В отчётном периоде фокус проекта был смещён на снижение конфликтов в системе «учитель–ученик», что обусловлено как запросами самих педагогов, так и результатами предыдущих этапов мониторинга, выявивших устойчивую потребность в формировании конструктивных моделей взаимодействия между участниками образовательных отношений. </w:t>
      </w:r>
    </w:p>
    <w:p>
      <w:pPr>
        <w:pStyle w:val="Normal"/>
        <w:ind w:firstLine="720"/>
        <w:jc w:val="both"/>
        <w:rPr/>
      </w:pPr>
      <w:r>
        <w:rPr>
          <w:rFonts w:cs="Times New Roman" w:ascii="Times New Roman" w:hAnsi="Times New Roman"/>
          <w:color w:themeColor="text1" w:val="000000"/>
          <w:sz w:val="24"/>
          <w:szCs w:val="24"/>
        </w:rPr>
        <w:t>В рамках реализации проекта проведена комплексная диагностика, охватившая педагогических работников и обучающихся двадцати образовательных организаций округа. Анкетирование показало, что ключевыми точками напряжения остаются: стиль общения педагогов с учениками в стрессовых ситуациях; недостаточное владение техниками эффективной коммуникации при дисциплинарных нарушениях; высокий уровень тревожности у отдельных категорий педагогических работников при взаимодействии с детьми, имеющими сложные формы поведения; неумение выстраивать диалог с учеником без перехода в позицию «обвинение–защита». На основании полученных данных идентифицированы четыре школы с высоким уровнем конфликтности по линии «учитель–ученик»: МАОУ «Гамовская средняя школа «Алгоритм», МАОУ «Култаевская средняя школа «Интеграция», МАОУ «Нижнемуллинская средняя школа» и МАОУ «Мулянская средняя школа». Данные учреждения были определены как приоритетные для адресной методической поддержки и супервизии в следующем учебном году, что свидетельствует о целенаправленном и дифференцированном подходе к решению проблемы.</w:t>
      </w:r>
    </w:p>
    <w:p>
      <w:pPr>
        <w:pStyle w:val="Normal"/>
        <w:ind w:firstLine="720"/>
        <w:jc w:val="both"/>
        <w:rPr/>
      </w:pPr>
      <w:r>
        <w:rPr>
          <w:rFonts w:cs="Times New Roman" w:ascii="Times New Roman" w:hAnsi="Times New Roman"/>
          <w:color w:themeColor="text1" w:val="000000"/>
          <w:sz w:val="24"/>
          <w:szCs w:val="24"/>
        </w:rPr>
        <w:t>Мероприятия проекта в отчётном периоде охватили различные категории педагогических работников. Для классных руководителей проведён онлайн-семинар «Эффективные коммуникации с детьми», в котором приняли участие более 80 педагогов, что подтверждает высокую востребованность данной темы и готовность педагогического сообщества к освоению новых подходов в общении с обучающимися. Для руководителей образовательных организаций организован семинар «От конфликта к конструктиву» с участием профессионального медиатора А.Л. Хавкиной, охвативший всех руководителей учреждений округа. Данный формат позволил не только транслировать теоретические основы медиативного подхода, но и обсудить конкретные управленческие стратегии по снижению конфликтогенности в школах. Значимым результатом работы стала презентация опыта реализации проекта на всероссийском уровне: психолог МАОУ «Култаевская средняя школа «Интеграция» О.Н. Меньшикова представила наработанные практики на Всероссийской конференции «Медиация как культура согласия: психологическая безопасность образовательных организаций». Данный факт свидетельствует о высоком профессиональном уровне участников проекта, а также о признании эффективности разработанных подходов на федеральном уровне. Трансляция опыта за пределы округа является показателем зрелости методической работы и готовности педагогического сообщества к диссеминации лучших практик.</w:t>
      </w:r>
    </w:p>
    <w:p>
      <w:pPr>
        <w:pStyle w:val="Normal"/>
        <w:jc w:val="center"/>
        <w:rPr>
          <w:rFonts w:ascii="Times New Roman" w:hAnsi="Times New Roman" w:cs="Times New Roman"/>
          <w:i/>
          <w:i/>
          <w:color w:themeColor="text1" w:val="000000"/>
          <w:sz w:val="24"/>
          <w:szCs w:val="24"/>
        </w:rPr>
      </w:pPr>
      <w:r>
        <w:rPr>
          <w:rFonts w:cs="Times New Roman" w:ascii="Times New Roman" w:hAnsi="Times New Roman"/>
          <w:i/>
          <w:color w:themeColor="text1" w:val="000000"/>
          <w:sz w:val="24"/>
          <w:szCs w:val="24"/>
        </w:rPr>
        <w:t xml:space="preserve">Таблица. Основные показатели реализации проекта </w:t>
        <w:br/>
        <w:t>«Школа доброжелательных отношений» в 2025–2026 учебном году.</w:t>
      </w:r>
    </w:p>
    <w:tbl>
      <w:tblPr>
        <w:tblW w:w="9781" w:type="dxa"/>
        <w:jc w:val="left"/>
        <w:tblInd w:w="-152" w:type="dxa"/>
        <w:tblLayout w:type="fixed"/>
        <w:tblCellMar>
          <w:top w:w="150" w:type="dxa"/>
          <w:left w:w="5" w:type="dxa"/>
          <w:bottom w:w="150" w:type="dxa"/>
          <w:right w:w="235" w:type="dxa"/>
        </w:tblCellMar>
        <w:tblLook w:val="04a0" w:noHBand="0" w:noVBand="1" w:firstColumn="1" w:lastRow="0" w:lastColumn="0" w:firstRow="1"/>
      </w:tblPr>
      <w:tblGrid>
        <w:gridCol w:w="7512"/>
        <w:gridCol w:w="2268"/>
      </w:tblGrid>
      <w:tr>
        <w:trPr>
          <w:tblHeader w:val="true"/>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b/>
                <w:bCs/>
                <w:color w:themeColor="text1" w:val="000000"/>
                <w:sz w:val="24"/>
                <w:szCs w:val="24"/>
                <w:lang w:eastAsia="ru-RU" w:bidi="ar-SA"/>
              </w:rPr>
            </w:pPr>
            <w:r>
              <w:rPr>
                <w:rFonts w:eastAsia="Times New Roman" w:cs="Times New Roman" w:ascii="Times New Roman" w:hAnsi="Times New Roman"/>
                <w:b/>
                <w:bCs/>
                <w:color w:themeColor="text1" w:val="000000"/>
                <w:sz w:val="24"/>
                <w:szCs w:val="24"/>
                <w:lang w:eastAsia="ru-RU" w:bidi="ar-SA"/>
              </w:rPr>
              <w:t>Показатель</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tcMar>
            <w:vAlign w:val="center"/>
          </w:tcPr>
          <w:p>
            <w:pPr>
              <w:pStyle w:val="Normal"/>
              <w:suppressAutoHyphens w:val="false"/>
              <w:spacing w:lineRule="auto" w:line="240" w:before="0" w:after="0"/>
              <w:rPr>
                <w:rFonts w:ascii="Times New Roman" w:hAnsi="Times New Roman" w:eastAsia="Times New Roman" w:cs="Times New Roman"/>
                <w:b/>
                <w:bCs/>
                <w:color w:themeColor="text1" w:val="000000"/>
                <w:sz w:val="24"/>
                <w:szCs w:val="24"/>
                <w:lang w:eastAsia="ru-RU" w:bidi="ar-SA"/>
              </w:rPr>
            </w:pPr>
            <w:r>
              <w:rPr>
                <w:rFonts w:eastAsia="Times New Roman" w:cs="Times New Roman" w:ascii="Times New Roman" w:hAnsi="Times New Roman"/>
                <w:b/>
                <w:bCs/>
                <w:color w:themeColor="text1" w:val="000000"/>
                <w:sz w:val="24"/>
                <w:szCs w:val="24"/>
                <w:lang w:eastAsia="ru-RU" w:bidi="ar-SA"/>
              </w:rPr>
              <w:t>Результат</w:t>
            </w:r>
          </w:p>
        </w:tc>
      </w:tr>
      <w:tr>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Количество образовательных организаций, охваченных диагностикой</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right w:w="0" w:type="dxa"/>
            </w:tcM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20</w:t>
            </w:r>
          </w:p>
        </w:tc>
      </w:tr>
      <w:tr>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Количество школ с высоким уровнем конфликтности</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right w:w="0" w:type="dxa"/>
            </w:tcM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4</w:t>
            </w:r>
          </w:p>
        </w:tc>
      </w:tr>
      <w:tr>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Количество педагогов, принявших участие в онлайн-семинаре</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right w:w="0" w:type="dxa"/>
            </w:tcM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80+</w:t>
            </w:r>
          </w:p>
        </w:tc>
      </w:tr>
      <w:tr>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Количество руководителей ОУ, принявших участие в семинаре</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right w:w="0" w:type="dxa"/>
            </w:tcM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100 %</w:t>
            </w:r>
          </w:p>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(все руководители)</w:t>
            </w:r>
          </w:p>
        </w:tc>
      </w:tr>
      <w:tr>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Выход на всероссийский уровень (конференция)</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right w:w="0" w:type="dxa"/>
            </w:tcM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1 (28.05.2026)</w:t>
            </w:r>
          </w:p>
        </w:tc>
      </w:tr>
      <w:tr>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Количество школ, запланированных для участия в краевом проекте в 2026–2027 уч. году</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right w:w="0" w:type="dxa"/>
            </w:tcM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5</w:t>
            </w:r>
          </w:p>
        </w:tc>
      </w:tr>
      <w:tr>
        <w:trPr/>
        <w:tc>
          <w:tcPr>
            <w:tcW w:w="7512"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Количество школ с адресной поддержкой и супервизией в 2026–2027 уч. году</w:t>
            </w:r>
          </w:p>
        </w:tc>
        <w:tc>
          <w:tcPr>
            <w:tcW w:w="2268" w:type="dxa"/>
            <w:tcBorders>
              <w:top w:val="single" w:sz="4" w:space="0" w:color="000000"/>
              <w:left w:val="single" w:sz="4" w:space="0" w:color="000000"/>
              <w:bottom w:val="single" w:sz="4" w:space="0" w:color="000000"/>
              <w:right w:val="single" w:sz="4" w:space="0" w:color="000000"/>
            </w:tcBorders>
            <w:shd w:color="auto" w:fill="FFFFFF" w:val="clear"/>
            <w:tcMar>
              <w:left w:w="240" w:type="dxa"/>
              <w:right w:w="0" w:type="dxa"/>
            </w:tcMar>
            <w:vAlign w:val="center"/>
          </w:tcPr>
          <w:p>
            <w:pPr>
              <w:pStyle w:val="Normal"/>
              <w:suppressAutoHyphens w:val="false"/>
              <w:spacing w:lineRule="auto" w:line="240" w:before="0" w:after="0"/>
              <w:rPr>
                <w:rFonts w:ascii="Times New Roman" w:hAnsi="Times New Roman" w:eastAsia="Times New Roman" w:cs="Times New Roman"/>
                <w:color w:themeColor="text1" w:val="000000"/>
                <w:sz w:val="24"/>
                <w:szCs w:val="24"/>
                <w:lang w:eastAsia="ru-RU" w:bidi="ar-SA"/>
              </w:rPr>
            </w:pPr>
            <w:r>
              <w:rPr>
                <w:rFonts w:eastAsia="Times New Roman" w:cs="Times New Roman" w:ascii="Times New Roman" w:hAnsi="Times New Roman"/>
                <w:color w:themeColor="text1" w:val="000000"/>
                <w:sz w:val="24"/>
                <w:szCs w:val="24"/>
                <w:lang w:eastAsia="ru-RU" w:bidi="ar-SA"/>
              </w:rPr>
              <w:t>4</w:t>
            </w:r>
          </w:p>
        </w:tc>
      </w:tr>
    </w:tbl>
    <w:p>
      <w:pPr>
        <w:pStyle w:val="Normal"/>
        <w:ind w:firstLine="720"/>
        <w:jc w:val="both"/>
        <w:rPr>
          <w:rFonts w:ascii="Times New Roman" w:hAnsi="Times New Roman" w:cs="Times New Roman"/>
          <w:color w:themeColor="text1" w:val="000000"/>
          <w:sz w:val="24"/>
          <w:szCs w:val="24"/>
        </w:rPr>
      </w:pPr>
      <w:r>
        <w:rPr>
          <w:rFonts w:cs="Times New Roman" w:ascii="Times New Roman" w:hAnsi="Times New Roman"/>
          <w:color w:themeColor="text1" w:val="000000"/>
          <w:sz w:val="24"/>
          <w:szCs w:val="24"/>
        </w:rPr>
        <w:t>В 2026–2027 учебном году намечен запуск грантового проекта с участием медиатора А.Л. Хавкиной, в который войдут 5 школ Пермского муниципального округа. Данный проект будет направлен на углублённое внедрение медиативных технологий, подготовку школьных медиаторов и отработку восстановительных практик в образовательных организациях. Остальные образовательные организации продолжат работу в рамках проектной линии «конфликты с родителями», что является логичным продолжением дифференцированного подхода: для одних школ приоритетом остаётся работа внутри системы «учитель–ученик», для других – взаимодействие с семьями. Для четырёх школ с высокими рисками предусмотрена адресная методическая поддержка и супервизия в следующем учебном году, что позволит углубить работу на уровне конкретных учреждений с учётом их индивидуальных особенностей и выявленных дефицитов. По итогам года подтверждена эффективность дифференцированного подхода, при котором точечная работа с проблемными школами сочетается с массовым обучением педагогов и руководителей, что позволяет охватывать как общие, так и специфические запросы образовательных организаций. Диагностика, проведённая на начальном этапе, стала надёжной основой для планирования адресных мероприятий, а идентификация школ с высоким уровнем конфликтности позволила сконцентрировать ресурсы на наиболее нуждающихся учреждениях. Смещение фокуса проекта на систему «учитель–ученик» оказалось своевременным и востребованным: рост числа участников семинаров, активное вовлечение руководителей и выход на всероссийский уровень свидетельствуют о сформированном запросе на данную тематику и готовности педагогов к изменениям в профессиональном поведении. При этом остаются зоны для дальнейшего развития: углубление работы в школах с высокими рисками, системное сопровождение педагогических коллективов в части эмоциональной регуляции и коммуникативных компетенций, а также более активное вовлечение молодых специалистов и педагогов с небольшим стажем, которые, по данным диагностики, чаще испытывают затруднения в общении с обучающимися.</w:t>
      </w:r>
    </w:p>
    <w:p>
      <w:pPr>
        <w:pStyle w:val="Normal"/>
        <w:spacing w:lineRule="auto" w:line="240" w:before="0" w:after="0"/>
        <w:ind w:firstLine="709"/>
        <w:jc w:val="both"/>
        <w:rPr>
          <w:rFonts w:ascii="Times New Roman" w:hAnsi="Times New Roman" w:cs="Times New Roman"/>
          <w:color w:themeColor="text1" w:val="000000"/>
          <w:sz w:val="24"/>
          <w:szCs w:val="24"/>
        </w:rPr>
      </w:pPr>
      <w:r>
        <w:rPr>
          <w:rFonts w:cs="Times New Roman" w:ascii="Times New Roman" w:hAnsi="Times New Roman"/>
          <w:b/>
          <w:color w:themeColor="text1" w:val="000000"/>
          <w:sz w:val="24"/>
          <w:szCs w:val="24"/>
        </w:rPr>
        <w:t>Вывод по разделу:</w:t>
      </w:r>
      <w:r>
        <w:rPr>
          <w:rFonts w:cs="Times New Roman" w:ascii="Times New Roman" w:hAnsi="Times New Roman"/>
          <w:color w:themeColor="text1" w:val="000000"/>
          <w:sz w:val="24"/>
          <w:szCs w:val="24"/>
        </w:rPr>
        <w:t xml:space="preserve"> приоритетные методические проекты «Учитель+» и «Школа доброжелательных отношений» доказали свою востребованность и эффективность. Проект «Учитель+» позволил организовать адресную работу с педагогами по наиболее сложным вопросам подготовки к ГИА, а запросы участников определили направления совершенствования на следующий год. Проект «Школа доброжелательных отношений» продемонстрировал результативность дифференцированного подхода: точечная работа с проблемными школами в сочетании с массовым обучением даёт устойчивый положительный эффект, подтверждённый как диагностикой, так и выходом на федеральный уровень.</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Рекомендации:</w:t>
      </w:r>
      <w:r>
        <w:rPr>
          <w:rFonts w:ascii="Times New Roman" w:hAnsi="Times New Roman"/>
          <w:color w:themeColor="text1" w:val="000000"/>
          <w:sz w:val="24"/>
        </w:rPr>
        <w:t xml:space="preserve"> по проекту «Учитель+» предусмотреть в плане на следующий учебный год увеличение продолжительности заседаний до 4 часов, дифференциацию потоков для педагогов 9-х и 11-х классов, а также включение тренингов по профилактике профессионального выгорания и работе с низкомотивированными учащимися. По проекту «Школа доброжелательных отношений» обеспечить адресное сопровождение четырёх школ с высоким уровнем конфликтности, провести повторную диагностику в первом полугодии 2026–2027 учебного года и продолжить реализацию проектной линии «конфликты с родителями» для остальных образовательных организаций.</w:t>
      </w:r>
    </w:p>
    <w:p>
      <w:pPr>
        <w:pStyle w:val="normal11"/>
        <w:spacing w:lineRule="auto" w:line="276" w:before="240" w:after="0"/>
        <w:jc w:val="center"/>
        <w:rPr>
          <w:rFonts w:ascii="Times New Roman" w:hAnsi="Times New Roman"/>
          <w:color w:themeColor="text1" w:val="000000"/>
          <w:sz w:val="24"/>
        </w:rPr>
      </w:pPr>
      <w:r>
        <w:rPr>
          <w:rFonts w:ascii="Times New Roman" w:hAnsi="Times New Roman"/>
          <w:b/>
          <w:color w:themeColor="text1" w:val="000000"/>
          <w:sz w:val="24"/>
        </w:rPr>
        <w:t>Аттестация педагогических работников</w:t>
      </w:r>
    </w:p>
    <w:p>
      <w:pPr>
        <w:pStyle w:val="normal11"/>
        <w:spacing w:lineRule="auto" w:line="240" w:before="0" w:after="0"/>
        <w:ind w:left="57"/>
        <w:jc w:val="both"/>
        <w:rPr>
          <w:rFonts w:ascii="Times New Roman" w:hAnsi="Times New Roman"/>
          <w:color w:themeColor="text1" w:val="000000"/>
          <w:sz w:val="24"/>
        </w:rPr>
      </w:pPr>
      <w:r>
        <w:rPr>
          <w:rFonts w:ascii="Times New Roman" w:hAnsi="Times New Roman"/>
          <w:color w:themeColor="text1" w:val="000000"/>
          <w:sz w:val="24"/>
        </w:rPr>
        <w:tab/>
      </w:r>
      <w:r>
        <w:rPr>
          <w:rFonts w:eastAsia="Times New Roman" w:cs="Times New Roman" w:ascii="Times New Roman" w:hAnsi="Times New Roman"/>
          <w:color w:themeColor="text1" w:val="000000"/>
          <w:sz w:val="24"/>
          <w:szCs w:val="24"/>
        </w:rPr>
        <w:t>Аттестация педагогических кадров играет важную роль в управлении образовательным процессом, так как это комплексная оценка уровня квалификации, педагогического профессионализма и продуктивности деятельности работников образования. Организация и проведение аттестации педагогических работников осуществлялась в соответствии с существующим законодательством:</w:t>
      </w:r>
    </w:p>
    <w:p>
      <w:pPr>
        <w:pStyle w:val="Normal"/>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Законом РФ № 273-ФЗ «Об образовании в Российской Федерации»;</w:t>
      </w:r>
    </w:p>
    <w:p>
      <w:pPr>
        <w:pStyle w:val="Normal"/>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приказом Министерства просвещения РФ от 23.03.2023 г. № 196 «Об утверждении Порядка и проведения аттестации педагогических работников организаций, осуществляющих образовательную деятельность»;</w:t>
      </w:r>
    </w:p>
    <w:p>
      <w:pPr>
        <w:pStyle w:val="Normal"/>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приказом Министерства здравоохранения и социального развития РФ от 26.08.20110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p>
    <w:p>
      <w:pPr>
        <w:pStyle w:val="Normal"/>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приказом Министерства образования и науки Пермского края от 22.08.2023 № 26-01-06-743 «О внесении изменений в приказ Министерства образования и науки Пермского края от 21.05.2015 г. «Об аттестации педагогических работников Пермского края».</w:t>
      </w:r>
    </w:p>
    <w:p>
      <w:pPr>
        <w:pStyle w:val="Normal"/>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b/>
        <w:t>В 2025-2026 учебном году 318 педагогических работников подали заявления с целью прохождения аттестационных процедур, что на 9 заявлений больше в сравнении с прошлым годом. Из заявившихся педагогов аттестовано 278 педагогов (87 % от количества заявившихся).</w:t>
      </w:r>
    </w:p>
    <w:p>
      <w:pPr>
        <w:pStyle w:val="Normal"/>
        <w:spacing w:lineRule="auto" w:line="276" w:before="240" w:after="0"/>
        <w:jc w:val="center"/>
        <w:rPr>
          <w:rFonts w:ascii="Times New Roman" w:hAnsi="Times New Roman" w:eastAsia="Times New Roman" w:cs="Times New Roman"/>
          <w:i/>
          <w:i/>
          <w:iCs/>
          <w:color w:themeColor="text1" w:val="000000"/>
          <w:sz w:val="24"/>
          <w:szCs w:val="24"/>
        </w:rPr>
      </w:pPr>
      <w:bookmarkStart w:id="0" w:name="OLE_LINK19"/>
      <w:bookmarkStart w:id="1" w:name="OLE_LINK20"/>
      <w:r>
        <w:rPr>
          <w:rFonts w:eastAsia="Times New Roman" w:cs="Times New Roman" w:ascii="Times New Roman" w:hAnsi="Times New Roman"/>
          <w:bCs/>
          <w:i/>
          <w:iCs/>
          <w:color w:themeColor="text1" w:val="000000"/>
          <w:sz w:val="24"/>
          <w:szCs w:val="24"/>
        </w:rPr>
        <w:t>Данные аттестационных процедур педагогических работников</w:t>
      </w:r>
      <w:bookmarkEnd w:id="0"/>
      <w:bookmarkEnd w:id="1"/>
    </w:p>
    <w:tbl>
      <w:tblPr>
        <w:tblW w:w="9506" w:type="dxa"/>
        <w:jc w:val="left"/>
        <w:tblInd w:w="100" w:type="dxa"/>
        <w:tblLayout w:type="fixed"/>
        <w:tblCellMar>
          <w:top w:w="0" w:type="dxa"/>
          <w:left w:w="100" w:type="dxa"/>
          <w:bottom w:w="0" w:type="dxa"/>
          <w:right w:w="100" w:type="dxa"/>
        </w:tblCellMar>
        <w:tblLook w:val="0600" w:noHBand="1" w:noVBand="1" w:firstColumn="0" w:lastRow="0" w:lastColumn="0" w:firstRow="0"/>
      </w:tblPr>
      <w:tblGrid>
        <w:gridCol w:w="1843"/>
        <w:gridCol w:w="1134"/>
        <w:gridCol w:w="1136"/>
        <w:gridCol w:w="1134"/>
        <w:gridCol w:w="1133"/>
        <w:gridCol w:w="1134"/>
        <w:gridCol w:w="1134"/>
        <w:gridCol w:w="856"/>
      </w:tblGrid>
      <w:tr>
        <w:trPr>
          <w:trHeight w:val="570" w:hRule="atLeast"/>
        </w:trPr>
        <w:tc>
          <w:tcPr>
            <w:tcW w:w="1843" w:type="dxa"/>
            <w:vMerge w:val="restart"/>
            <w:tcBorders>
              <w:top w:val="single" w:sz="6" w:space="0" w:color="000000"/>
              <w:left w:val="single" w:sz="6" w:space="0" w:color="000000"/>
              <w:bottom w:val="single" w:sz="6" w:space="0" w:color="000000"/>
              <w:right w:val="single" w:sz="6" w:space="0" w:color="000000"/>
            </w:tcBorders>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2270" w:type="dxa"/>
            <w:gridSpan w:val="2"/>
            <w:tcBorders>
              <w:top w:val="single" w:sz="6" w:space="0" w:color="000000"/>
              <w:bottom w:val="single" w:sz="6" w:space="0" w:color="000000"/>
              <w:right w:val="single" w:sz="6" w:space="0" w:color="000000"/>
            </w:tcBorders>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ДОУ</w:t>
            </w:r>
          </w:p>
        </w:tc>
        <w:tc>
          <w:tcPr>
            <w:tcW w:w="2267" w:type="dxa"/>
            <w:gridSpan w:val="2"/>
            <w:tcBorders>
              <w:top w:val="single" w:sz="6" w:space="0" w:color="000000"/>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СОШ</w:t>
            </w:r>
          </w:p>
        </w:tc>
        <w:tc>
          <w:tcPr>
            <w:tcW w:w="2268" w:type="dxa"/>
            <w:gridSpan w:val="2"/>
            <w:tcBorders>
              <w:top w:val="single" w:sz="6" w:space="0" w:color="000000"/>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УДО</w:t>
            </w:r>
          </w:p>
        </w:tc>
        <w:tc>
          <w:tcPr>
            <w:tcW w:w="856" w:type="dxa"/>
            <w:vMerge w:val="restart"/>
            <w:tcBorders>
              <w:top w:val="single" w:sz="6" w:space="0" w:color="000000"/>
              <w:bottom w:val="single" w:sz="6" w:space="0" w:color="000000"/>
              <w:right w:val="single" w:sz="6" w:space="0" w:color="000000"/>
            </w:tcBorders>
            <w:shd w:color="auto" w:fill="auto" w:val="clear"/>
          </w:tcPr>
          <w:p>
            <w:pPr>
              <w:pStyle w:val="Normal"/>
              <w:spacing w:lineRule="auto" w:line="276" w:before="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Итого</w:t>
            </w:r>
          </w:p>
        </w:tc>
      </w:tr>
      <w:tr>
        <w:trPr>
          <w:trHeight w:val="570" w:hRule="atLeast"/>
        </w:trPr>
        <w:tc>
          <w:tcPr>
            <w:tcW w:w="1843" w:type="dxa"/>
            <w:vMerge w:val="continue"/>
            <w:tcBorders>
              <w:top w:val="single" w:sz="6" w:space="0" w:color="000000"/>
              <w:left w:val="single" w:sz="6" w:space="0" w:color="000000"/>
              <w:bottom w:val="single" w:sz="6" w:space="0" w:color="000000"/>
              <w:right w:val="single" w:sz="6" w:space="0" w:color="000000"/>
            </w:tcBorders>
            <w:shd w:color="auto" w:fill="auto" w:val="clear"/>
            <w:tcMar>
              <w:top w:w="100" w:type="dxa"/>
              <w:bottom w:w="100" w:type="dxa"/>
            </w:tcMar>
          </w:tcPr>
          <w:p>
            <w:pPr>
              <w:pStyle w:val="Normal"/>
              <w:spacing w:lineRule="auto" w:line="240" w:before="0" w:after="0"/>
              <w:ind w:firstLine="709"/>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134" w:type="dxa"/>
            <w:tcBorders>
              <w:bottom w:val="single" w:sz="6" w:space="0" w:color="000000"/>
              <w:right w:val="single" w:sz="6" w:space="0" w:color="000000"/>
            </w:tcBorders>
            <w:shd w:color="auto" w:fill="auto" w:val="clear"/>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Высшая</w:t>
            </w:r>
          </w:p>
        </w:tc>
        <w:tc>
          <w:tcPr>
            <w:tcW w:w="1136" w:type="dxa"/>
            <w:tcBorders>
              <w:bottom w:val="single" w:sz="6" w:space="0" w:color="000000"/>
              <w:right w:val="single" w:sz="6" w:space="0" w:color="000000"/>
            </w:tcBorders>
            <w:shd w:color="auto" w:fill="auto" w:val="clear"/>
          </w:tcPr>
          <w:p>
            <w:pPr>
              <w:pStyle w:val="Normal"/>
              <w:tabs>
                <w:tab w:val="clear" w:pos="720"/>
                <w:tab w:val="left" w:pos="-110" w:leader="none"/>
              </w:tabs>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Первая</w:t>
            </w:r>
          </w:p>
        </w:tc>
        <w:tc>
          <w:tcPr>
            <w:tcW w:w="1134" w:type="dxa"/>
            <w:tcBorders>
              <w:bottom w:val="single" w:sz="6" w:space="0" w:color="000000"/>
              <w:right w:val="single" w:sz="6" w:space="0" w:color="000000"/>
            </w:tcBorders>
            <w:shd w:color="auto" w:fill="auto" w:val="clear"/>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Высшая</w:t>
            </w:r>
          </w:p>
        </w:tc>
        <w:tc>
          <w:tcPr>
            <w:tcW w:w="1133" w:type="dxa"/>
            <w:tcBorders>
              <w:bottom w:val="single" w:sz="6" w:space="0" w:color="000000"/>
              <w:right w:val="single" w:sz="6" w:space="0" w:color="000000"/>
            </w:tcBorders>
            <w:shd w:color="auto" w:fill="auto" w:val="clear"/>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Первая</w:t>
            </w:r>
          </w:p>
        </w:tc>
        <w:tc>
          <w:tcPr>
            <w:tcW w:w="1134" w:type="dxa"/>
            <w:tcBorders>
              <w:bottom w:val="single" w:sz="6" w:space="0" w:color="000000"/>
              <w:right w:val="single" w:sz="6" w:space="0" w:color="000000"/>
            </w:tcBorders>
            <w:shd w:color="auto" w:fill="auto" w:val="clear"/>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Высшая</w:t>
            </w:r>
          </w:p>
        </w:tc>
        <w:tc>
          <w:tcPr>
            <w:tcW w:w="1134" w:type="dxa"/>
            <w:tcBorders>
              <w:bottom w:val="single" w:sz="6" w:space="0" w:color="000000"/>
              <w:right w:val="single" w:sz="6" w:space="0" w:color="000000"/>
            </w:tcBorders>
            <w:shd w:color="auto" w:fill="auto" w:val="clear"/>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Первая</w:t>
            </w:r>
          </w:p>
        </w:tc>
        <w:tc>
          <w:tcPr>
            <w:tcW w:w="856" w:type="dxa"/>
            <w:vMerge w:val="continue"/>
            <w:tcBorders>
              <w:top w:val="single" w:sz="6" w:space="0" w:color="000000"/>
              <w:bottom w:val="single" w:sz="6" w:space="0" w:color="000000"/>
              <w:right w:val="single" w:sz="6" w:space="0" w:color="000000"/>
            </w:tcBorders>
            <w:shd w:color="auto" w:fill="auto" w:val="clear"/>
            <w:tcMar>
              <w:top w:w="100" w:type="dxa"/>
              <w:bottom w:w="100" w:type="dxa"/>
            </w:tcMar>
          </w:tcPr>
          <w:p>
            <w:pPr>
              <w:pStyle w:val="Normal"/>
              <w:spacing w:lineRule="auto" w:line="240" w:before="0" w:after="0"/>
              <w:ind w:firstLine="709"/>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r>
      <w:tr>
        <w:trPr>
          <w:trHeight w:val="570" w:hRule="atLeast"/>
        </w:trPr>
        <w:tc>
          <w:tcPr>
            <w:tcW w:w="1843" w:type="dxa"/>
            <w:tcBorders>
              <w:left w:val="single" w:sz="6" w:space="0" w:color="000000"/>
              <w:bottom w:val="single" w:sz="6" w:space="0" w:color="000000"/>
              <w:right w:val="single" w:sz="6" w:space="0" w:color="000000"/>
            </w:tcBorders>
            <w:shd w:color="auto" w:fill="auto" w:val="clear"/>
          </w:tcPr>
          <w:p>
            <w:pPr>
              <w:pStyle w:val="Normal"/>
              <w:spacing w:lineRule="auto" w:line="276" w:before="0" w:after="0"/>
              <w:ind w:left="4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Подано заявлений</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51</w:t>
            </w:r>
          </w:p>
        </w:tc>
        <w:tc>
          <w:tcPr>
            <w:tcW w:w="113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61</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c>
          <w:tcPr>
            <w:tcW w:w="1133"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119</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w:t>
            </w:r>
          </w:p>
        </w:tc>
        <w:tc>
          <w:tcPr>
            <w:tcW w:w="85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318</w:t>
            </w:r>
          </w:p>
        </w:tc>
      </w:tr>
      <w:tr>
        <w:trPr>
          <w:trHeight w:val="570" w:hRule="atLeast"/>
        </w:trPr>
        <w:tc>
          <w:tcPr>
            <w:tcW w:w="1843"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Аттестовано</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48</w:t>
            </w:r>
          </w:p>
        </w:tc>
        <w:tc>
          <w:tcPr>
            <w:tcW w:w="113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58</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71</w:t>
            </w:r>
          </w:p>
        </w:tc>
        <w:tc>
          <w:tcPr>
            <w:tcW w:w="1133"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93</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w:t>
            </w:r>
          </w:p>
        </w:tc>
        <w:tc>
          <w:tcPr>
            <w:tcW w:w="85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278</w:t>
            </w:r>
          </w:p>
        </w:tc>
      </w:tr>
      <w:tr>
        <w:trPr>
          <w:trHeight w:val="825" w:hRule="atLeast"/>
        </w:trPr>
        <w:tc>
          <w:tcPr>
            <w:tcW w:w="1843" w:type="dxa"/>
            <w:tcBorders>
              <w:left w:val="single" w:sz="6" w:space="0" w:color="000000"/>
              <w:bottom w:val="single" w:sz="6" w:space="0" w:color="000000"/>
              <w:right w:val="single" w:sz="6" w:space="0" w:color="000000"/>
            </w:tcBorders>
            <w:shd w:color="auto" w:fill="auto" w:val="clear"/>
          </w:tcPr>
          <w:p>
            <w:pPr>
              <w:pStyle w:val="Normal"/>
              <w:spacing w:lineRule="auto" w:line="276" w:before="0" w:after="0"/>
              <w:ind w:left="4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Не приступили к аттестации</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w:t>
            </w:r>
          </w:p>
        </w:tc>
        <w:tc>
          <w:tcPr>
            <w:tcW w:w="113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w:t>
            </w:r>
          </w:p>
        </w:tc>
        <w:tc>
          <w:tcPr>
            <w:tcW w:w="1133"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14</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0</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w:t>
            </w:r>
          </w:p>
        </w:tc>
        <w:tc>
          <w:tcPr>
            <w:tcW w:w="85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21</w:t>
            </w:r>
          </w:p>
        </w:tc>
      </w:tr>
      <w:tr>
        <w:trPr>
          <w:trHeight w:val="570" w:hRule="atLeast"/>
        </w:trPr>
        <w:tc>
          <w:tcPr>
            <w:tcW w:w="1843" w:type="dxa"/>
            <w:tcBorders>
              <w:left w:val="single" w:sz="6" w:space="0" w:color="000000"/>
              <w:bottom w:val="single" w:sz="6" w:space="0" w:color="000000"/>
              <w:right w:val="single" w:sz="6" w:space="0" w:color="000000"/>
            </w:tcBorders>
            <w:shd w:color="auto" w:fill="auto" w:val="clear"/>
          </w:tcPr>
          <w:p>
            <w:pPr>
              <w:pStyle w:val="Normal"/>
              <w:spacing w:lineRule="auto" w:line="276" w:before="0" w:after="0"/>
              <w:ind w:left="4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Не аттестовано</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w:t>
            </w:r>
          </w:p>
        </w:tc>
        <w:tc>
          <w:tcPr>
            <w:tcW w:w="113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w:t>
            </w:r>
          </w:p>
        </w:tc>
        <w:tc>
          <w:tcPr>
            <w:tcW w:w="1133"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12</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0</w:t>
            </w:r>
          </w:p>
        </w:tc>
        <w:tc>
          <w:tcPr>
            <w:tcW w:w="1134"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0</w:t>
            </w:r>
          </w:p>
        </w:tc>
        <w:tc>
          <w:tcPr>
            <w:tcW w:w="856" w:type="dxa"/>
            <w:tcBorders>
              <w:bottom w:val="single" w:sz="6" w:space="0" w:color="000000"/>
              <w:right w:val="single" w:sz="6" w:space="0" w:color="000000"/>
            </w:tcBorders>
            <w:shd w:color="auto" w:fill="auto" w:val="clear"/>
          </w:tcPr>
          <w:p>
            <w:pPr>
              <w:pStyle w:val="Normal"/>
              <w:spacing w:lineRule="auto" w:line="276" w:before="0" w:after="0"/>
              <w:ind w:left="-44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19</w:t>
            </w:r>
          </w:p>
        </w:tc>
      </w:tr>
    </w:tbl>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b/>
        <w:t xml:space="preserve">На квалификационную категорию «педагог-методист» аттестовано 3 педагога. Важно отметить увеличение с каждым годом количества присвоения высшей квалификационной категории, что говорит о повышении профессионализма педагогов и системной работе сопровождения аттестационных процедур в образовательных организациях. </w:t>
      </w:r>
    </w:p>
    <w:p>
      <w:pPr>
        <w:pStyle w:val="Normal"/>
        <w:spacing w:lineRule="auto" w:line="276" w:before="240" w:after="0"/>
        <w:jc w:val="center"/>
        <w:rPr>
          <w:rFonts w:ascii="Times New Roman" w:hAnsi="Times New Roman" w:eastAsia="Times New Roman" w:cs="Times New Roman"/>
          <w:i/>
          <w:i/>
          <w:iCs/>
          <w:color w:themeColor="text1" w:val="000000"/>
          <w:sz w:val="24"/>
          <w:szCs w:val="24"/>
        </w:rPr>
      </w:pPr>
      <w:bookmarkStart w:id="2" w:name="OLE_LINK13"/>
      <w:bookmarkStart w:id="3" w:name="OLE_LINK14"/>
      <w:r>
        <w:rPr>
          <w:rFonts w:eastAsia="Times New Roman" w:cs="Times New Roman" w:ascii="Times New Roman" w:hAnsi="Times New Roman"/>
          <w:bCs/>
          <w:i/>
          <w:iCs/>
          <w:color w:themeColor="text1" w:val="000000"/>
          <w:sz w:val="24"/>
          <w:szCs w:val="24"/>
        </w:rPr>
        <w:t>Данные о количестве отрицательных экспертных заключений по результатам экспертной оценки</w:t>
      </w:r>
    </w:p>
    <w:tbl>
      <w:tblPr>
        <w:tblW w:w="9548"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2127"/>
        <w:gridCol w:w="1235"/>
        <w:gridCol w:w="1238"/>
        <w:gridCol w:w="1236"/>
        <w:gridCol w:w="1240"/>
        <w:gridCol w:w="1234"/>
        <w:gridCol w:w="1237"/>
      </w:tblGrid>
      <w:tr>
        <w:trPr/>
        <w:tc>
          <w:tcPr>
            <w:tcW w:w="2127" w:type="dxa"/>
            <w:vMerge w:val="restart"/>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Педагогические работники</w:t>
            </w:r>
          </w:p>
        </w:tc>
        <w:tc>
          <w:tcPr>
            <w:tcW w:w="2473"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2023-2024</w:t>
            </w:r>
          </w:p>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247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2024-2025</w:t>
            </w:r>
          </w:p>
        </w:tc>
        <w:tc>
          <w:tcPr>
            <w:tcW w:w="2471"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2025-2026</w:t>
            </w:r>
          </w:p>
        </w:tc>
      </w:tr>
      <w:tr>
        <w:trPr/>
        <w:tc>
          <w:tcPr>
            <w:tcW w:w="2127" w:type="dxa"/>
            <w:vMerge w:val="continue"/>
            <w:tcBorders>
              <w:top w:val="single" w:sz="4" w:space="0" w:color="000000"/>
              <w:left w:val="single" w:sz="4" w:space="0" w:color="000000"/>
              <w:bottom w:val="single" w:sz="4" w:space="0" w:color="000000"/>
              <w:right w:val="single" w:sz="4"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23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высшая</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первая</w:t>
            </w:r>
          </w:p>
        </w:tc>
        <w:tc>
          <w:tcPr>
            <w:tcW w:w="123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высшая</w:t>
            </w:r>
          </w:p>
        </w:tc>
        <w:tc>
          <w:tcPr>
            <w:tcW w:w="124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первая</w:t>
            </w:r>
          </w:p>
        </w:tc>
        <w:tc>
          <w:tcPr>
            <w:tcW w:w="1234"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высшая</w:t>
            </w:r>
          </w:p>
        </w:tc>
        <w:tc>
          <w:tcPr>
            <w:tcW w:w="123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первая</w:t>
            </w:r>
            <w:bookmarkStart w:id="4" w:name="_Hlk234844593"/>
            <w:bookmarkEnd w:id="4"/>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Педагогические работники СОШ</w:t>
            </w:r>
          </w:p>
        </w:tc>
        <w:tc>
          <w:tcPr>
            <w:tcW w:w="123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8</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20</w:t>
            </w:r>
          </w:p>
        </w:tc>
        <w:tc>
          <w:tcPr>
            <w:tcW w:w="123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4</w:t>
            </w:r>
          </w:p>
        </w:tc>
        <w:tc>
          <w:tcPr>
            <w:tcW w:w="124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14</w:t>
            </w:r>
          </w:p>
        </w:tc>
        <w:tc>
          <w:tcPr>
            <w:tcW w:w="1234"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5</w:t>
            </w:r>
          </w:p>
        </w:tc>
        <w:tc>
          <w:tcPr>
            <w:tcW w:w="123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22</w:t>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Педагогические работники ДОУ</w:t>
            </w:r>
          </w:p>
        </w:tc>
        <w:tc>
          <w:tcPr>
            <w:tcW w:w="123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5</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15</w:t>
            </w:r>
          </w:p>
        </w:tc>
        <w:tc>
          <w:tcPr>
            <w:tcW w:w="123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0</w:t>
            </w:r>
          </w:p>
        </w:tc>
        <w:tc>
          <w:tcPr>
            <w:tcW w:w="124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2</w:t>
            </w:r>
          </w:p>
        </w:tc>
        <w:tc>
          <w:tcPr>
            <w:tcW w:w="1234"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3</w:t>
            </w:r>
          </w:p>
        </w:tc>
        <w:tc>
          <w:tcPr>
            <w:tcW w:w="123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3</w:t>
            </w:r>
          </w:p>
        </w:tc>
      </w:tr>
      <w:tr>
        <w:trPr/>
        <w:tc>
          <w:tcPr>
            <w:tcW w:w="2127" w:type="dxa"/>
            <w:tcBorders>
              <w:top w:val="single" w:sz="4" w:space="0" w:color="000000"/>
              <w:left w:val="single" w:sz="4" w:space="0" w:color="000000"/>
              <w:bottom w:val="single" w:sz="4" w:space="0" w:color="000000"/>
              <w:right w:val="single" w:sz="4"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Педагогические работники УДО</w:t>
            </w:r>
          </w:p>
        </w:tc>
        <w:tc>
          <w:tcPr>
            <w:tcW w:w="123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0</w:t>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0</w:t>
            </w:r>
          </w:p>
        </w:tc>
        <w:tc>
          <w:tcPr>
            <w:tcW w:w="1236"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1</w:t>
            </w:r>
          </w:p>
        </w:tc>
        <w:tc>
          <w:tcPr>
            <w:tcW w:w="1240"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1</w:t>
            </w:r>
          </w:p>
        </w:tc>
        <w:tc>
          <w:tcPr>
            <w:tcW w:w="1234"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0</w:t>
            </w:r>
          </w:p>
        </w:tc>
        <w:tc>
          <w:tcPr>
            <w:tcW w:w="1237"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lang w:eastAsia="ru-RU" w:bidi="ar-SA"/>
              </w:rPr>
              <w:t>0</w:t>
            </w:r>
            <w:bookmarkStart w:id="5" w:name="_Hlk234848200"/>
            <w:bookmarkEnd w:id="5"/>
          </w:p>
        </w:tc>
      </w:tr>
    </w:tbl>
    <w:p>
      <w:pPr>
        <w:pStyle w:val="Normal"/>
        <w:tabs>
          <w:tab w:val="clear" w:pos="720"/>
          <w:tab w:val="left" w:pos="-55" w:leader="none"/>
        </w:tabs>
        <w:spacing w:lineRule="auto" w:line="276" w:before="0" w:after="0"/>
        <w:jc w:val="both"/>
        <w:rPr>
          <w:rFonts w:ascii="Times New Roman" w:hAnsi="Times New Roman" w:eastAsia="Times New Roman" w:cs="Times New Roman"/>
          <w:color w:themeColor="text1" w:val="000000"/>
          <w:sz w:val="24"/>
          <w:szCs w:val="24"/>
        </w:rPr>
      </w:pPr>
      <w:r>
        <w:rPr>
          <w:rFonts w:cs="Times New Roman" w:ascii="Times New Roman" w:hAnsi="Times New Roman"/>
          <w:color w:themeColor="text1" w:val="000000"/>
          <w:sz w:val="24"/>
          <w:szCs w:val="24"/>
          <w:shd w:fill="FFFFFF" w:val="clear"/>
        </w:rPr>
        <w:tab/>
        <w:t>В 2024–2025 году была проделана большая работа - число отказов сократилось более чем вдвое. Однако в текущем году ситуация </w:t>
      </w:r>
      <w:r>
        <w:rPr>
          <w:rStyle w:val="Strong"/>
          <w:rFonts w:cs="Times New Roman" w:ascii="Times New Roman" w:hAnsi="Times New Roman"/>
          <w:b w:val="false"/>
          <w:color w:themeColor="text1" w:val="000000"/>
          <w:sz w:val="24"/>
          <w:szCs w:val="24"/>
          <w:shd w:fill="FFFFFF" w:val="clear"/>
        </w:rPr>
        <w:t>резко ухудшилась</w:t>
      </w:r>
      <w:r>
        <w:rPr>
          <w:rFonts w:cs="Times New Roman" w:ascii="Times New Roman" w:hAnsi="Times New Roman"/>
          <w:color w:themeColor="text1" w:val="000000"/>
          <w:sz w:val="24"/>
          <w:szCs w:val="24"/>
          <w:shd w:fill="FFFFFF" w:val="clear"/>
        </w:rPr>
        <w:t>: рост на 50% сигнализирует о том, что достигнутый результат не закреплён, система дала сбой. Это означает, что </w:t>
      </w:r>
      <w:r>
        <w:rPr>
          <w:rStyle w:val="Strong"/>
          <w:rFonts w:cs="Times New Roman" w:ascii="Times New Roman" w:hAnsi="Times New Roman"/>
          <w:b w:val="false"/>
          <w:color w:themeColor="text1" w:val="000000"/>
          <w:sz w:val="24"/>
          <w:szCs w:val="24"/>
          <w:shd w:fill="FFFFFF" w:val="clear"/>
        </w:rPr>
        <w:t>учителя школ массово подают документы на первую категорию, не соответствующие требованиям</w:t>
      </w:r>
      <w:r>
        <w:rPr>
          <w:rFonts w:cs="Times New Roman" w:ascii="Times New Roman" w:hAnsi="Times New Roman"/>
          <w:b/>
          <w:color w:themeColor="text1" w:val="000000"/>
          <w:sz w:val="24"/>
          <w:szCs w:val="24"/>
          <w:shd w:fill="FFFFFF" w:val="clear"/>
        </w:rPr>
        <w:t>.</w:t>
      </w:r>
      <w:r>
        <w:rPr>
          <w:rFonts w:cs="Times New Roman" w:ascii="Times New Roman" w:hAnsi="Times New Roman"/>
          <w:color w:themeColor="text1" w:val="000000"/>
          <w:sz w:val="24"/>
          <w:szCs w:val="24"/>
          <w:shd w:fill="FFFFFF" w:val="clear"/>
        </w:rPr>
        <w:t xml:space="preserve"> Либо они неверно оценивают свой уровень, либо методическая помощь внутри школ отсутствует (по первой категории в школах отказов стало </w:t>
      </w:r>
      <w:r>
        <w:rPr>
          <w:rStyle w:val="Strong"/>
          <w:rFonts w:cs="Times New Roman" w:ascii="Times New Roman" w:hAnsi="Times New Roman"/>
          <w:color w:themeColor="text1" w:val="000000"/>
          <w:sz w:val="24"/>
          <w:szCs w:val="24"/>
          <w:shd w:fill="FFFFFF" w:val="clear"/>
        </w:rPr>
        <w:t>на 57% больше</w:t>
      </w:r>
      <w:r>
        <w:rPr>
          <w:rFonts w:cs="Times New Roman" w:ascii="Times New Roman" w:hAnsi="Times New Roman"/>
          <w:color w:themeColor="text1" w:val="000000"/>
          <w:sz w:val="24"/>
          <w:szCs w:val="24"/>
          <w:shd w:fill="FFFFFF" w:val="clear"/>
        </w:rPr>
        <w:t>, чем в прошлом году).</w:t>
      </w:r>
      <w:bookmarkEnd w:id="2"/>
      <w:bookmarkEnd w:id="3"/>
    </w:p>
    <w:p>
      <w:pPr>
        <w:pStyle w:val="Normal"/>
        <w:spacing w:lineRule="auto" w:line="276"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b/>
        <w:t>Распределение педагогических работников получивших квалификационную категорию в течение 2025 - 2026 учебного года представлено в таблице:</w:t>
      </w:r>
    </w:p>
    <w:tbl>
      <w:tblPr>
        <w:tblW w:w="9493" w:type="dxa"/>
        <w:jc w:val="left"/>
        <w:tblInd w:w="100" w:type="dxa"/>
        <w:tblLayout w:type="fixed"/>
        <w:tblCellMar>
          <w:top w:w="0" w:type="dxa"/>
          <w:left w:w="100" w:type="dxa"/>
          <w:bottom w:w="0" w:type="dxa"/>
          <w:right w:w="100" w:type="dxa"/>
        </w:tblCellMar>
        <w:tblLook w:val="0600" w:noHBand="1" w:noVBand="1" w:firstColumn="0" w:lastRow="0" w:lastColumn="0" w:firstRow="0"/>
      </w:tblPr>
      <w:tblGrid>
        <w:gridCol w:w="4817"/>
        <w:gridCol w:w="2410"/>
        <w:gridCol w:w="2266"/>
      </w:tblGrid>
      <w:tr>
        <w:trPr>
          <w:trHeight w:val="300" w:hRule="atLeast"/>
        </w:trPr>
        <w:tc>
          <w:tcPr>
            <w:tcW w:w="4817" w:type="dxa"/>
            <w:tcBorders>
              <w:top w:val="single" w:sz="6" w:space="0" w:color="000000"/>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Педагогические работники</w:t>
            </w:r>
          </w:p>
        </w:tc>
        <w:tc>
          <w:tcPr>
            <w:tcW w:w="2410" w:type="dxa"/>
            <w:tcBorders>
              <w:top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Высшая категория</w:t>
            </w:r>
          </w:p>
        </w:tc>
        <w:tc>
          <w:tcPr>
            <w:tcW w:w="2266" w:type="dxa"/>
            <w:tcBorders>
              <w:top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Первая категория</w:t>
            </w:r>
          </w:p>
        </w:tc>
      </w:tr>
      <w:tr>
        <w:trPr>
          <w:trHeight w:val="585"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Педагогические работники школ, из них:</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71</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93</w:t>
            </w:r>
          </w:p>
        </w:tc>
      </w:tr>
      <w:tr>
        <w:trPr>
          <w:trHeight w:val="300"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учителя</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53</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67</w:t>
            </w:r>
          </w:p>
        </w:tc>
      </w:tr>
      <w:tr>
        <w:trPr>
          <w:trHeight w:val="300"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воспитатели дошкольных групп</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9</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8</w:t>
            </w:r>
          </w:p>
        </w:tc>
      </w:tr>
      <w:tr>
        <w:trPr>
          <w:trHeight w:val="300"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другие педагогические работники</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9</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18</w:t>
            </w:r>
          </w:p>
        </w:tc>
      </w:tr>
      <w:tr>
        <w:trPr>
          <w:trHeight w:val="585"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Педагогические работники детских садов</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48</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58</w:t>
            </w:r>
          </w:p>
        </w:tc>
      </w:tr>
      <w:tr>
        <w:trPr>
          <w:trHeight w:val="300"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воспитатели</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26</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46</w:t>
            </w:r>
          </w:p>
        </w:tc>
      </w:tr>
      <w:tr>
        <w:trPr>
          <w:trHeight w:val="300"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другие педагогические работники</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22</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12</w:t>
            </w:r>
          </w:p>
        </w:tc>
      </w:tr>
      <w:tr>
        <w:trPr>
          <w:trHeight w:val="300" w:hRule="atLeast"/>
        </w:trPr>
        <w:tc>
          <w:tcPr>
            <w:tcW w:w="4817" w:type="dxa"/>
            <w:tcBorders>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Педагоги УДО</w:t>
            </w:r>
          </w:p>
        </w:tc>
        <w:tc>
          <w:tcPr>
            <w:tcW w:w="2410"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4</w:t>
            </w:r>
          </w:p>
        </w:tc>
        <w:tc>
          <w:tcPr>
            <w:tcW w:w="2266" w:type="dxa"/>
            <w:tcBorders>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4</w:t>
            </w:r>
          </w:p>
        </w:tc>
      </w:tr>
    </w:tbl>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b/>
        <w:t xml:space="preserve">На конец 2025 - 2026 учебного года по данным ЕИАС «Монитор» (по состоянию на 01.07.2026 г.) 1207 педагогических работников имеют квалификационные категории. Доля аттестованных педагогических работников на квалификационные категории составляет 58 % от общего количества. </w:t>
      </w:r>
    </w:p>
    <w:p>
      <w:pPr>
        <w:pStyle w:val="Normal"/>
        <w:spacing w:lineRule="auto" w:line="276" w:before="240" w:after="0"/>
        <w:jc w:val="center"/>
        <w:rPr>
          <w:rFonts w:ascii="Times New Roman" w:hAnsi="Times New Roman" w:eastAsia="Times New Roman" w:cs="Times New Roman"/>
          <w:i/>
          <w:i/>
          <w:iCs/>
          <w:color w:themeColor="text1" w:val="000000"/>
          <w:sz w:val="24"/>
          <w:szCs w:val="24"/>
        </w:rPr>
      </w:pPr>
      <w:r>
        <w:rPr>
          <w:rFonts w:eastAsia="Times New Roman" w:cs="Times New Roman" w:ascii="Times New Roman" w:hAnsi="Times New Roman"/>
          <w:i/>
          <w:iCs/>
          <w:color w:themeColor="text1" w:val="000000"/>
          <w:sz w:val="24"/>
          <w:szCs w:val="24"/>
        </w:rPr>
        <w:t>Распределение аттестованных педагогов по уровням образования в 2025 - 2026 уч. году</w:t>
      </w:r>
    </w:p>
    <w:tbl>
      <w:tblPr>
        <w:tblW w:w="9493" w:type="dxa"/>
        <w:jc w:val="left"/>
        <w:tblInd w:w="100" w:type="dxa"/>
        <w:tblLayout w:type="fixed"/>
        <w:tblCellMar>
          <w:top w:w="0" w:type="dxa"/>
          <w:left w:w="100" w:type="dxa"/>
          <w:bottom w:w="0" w:type="dxa"/>
          <w:right w:w="100" w:type="dxa"/>
        </w:tblCellMar>
        <w:tblLook w:val="0600" w:noHBand="1" w:noVBand="1" w:firstColumn="0" w:lastRow="0" w:lastColumn="0" w:firstRow="0"/>
      </w:tblPr>
      <w:tblGrid>
        <w:gridCol w:w="2151"/>
        <w:gridCol w:w="1270"/>
        <w:gridCol w:w="1210"/>
        <w:gridCol w:w="2000"/>
        <w:gridCol w:w="1270"/>
        <w:gridCol w:w="1591"/>
      </w:tblGrid>
      <w:tr>
        <w:trPr>
          <w:trHeight w:val="585" w:hRule="atLeast"/>
        </w:trPr>
        <w:tc>
          <w:tcPr>
            <w:tcW w:w="2151" w:type="dxa"/>
            <w:tcBorders>
              <w:top w:val="single" w:sz="6" w:space="0" w:color="000000"/>
              <w:left w:val="single" w:sz="6" w:space="0" w:color="000000"/>
              <w:bottom w:val="single" w:sz="6" w:space="0" w:color="000000"/>
              <w:right w:val="single" w:sz="6" w:space="0" w:color="000000"/>
            </w:tcBorders>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r>
          </w:p>
        </w:tc>
        <w:tc>
          <w:tcPr>
            <w:tcW w:w="5750" w:type="dxa"/>
            <w:gridSpan w:val="4"/>
            <w:tcBorders>
              <w:top w:val="single" w:sz="6" w:space="0" w:color="000000"/>
              <w:bottom w:val="single" w:sz="6" w:space="0" w:color="000000"/>
              <w:right w:val="single" w:sz="6" w:space="0" w:color="000000"/>
            </w:tcBorders>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Количество педагогических работников с квалификационной категорией</w:t>
            </w:r>
          </w:p>
        </w:tc>
        <w:tc>
          <w:tcPr>
            <w:tcW w:w="1591" w:type="dxa"/>
            <w:vMerge w:val="restart"/>
            <w:tcBorders>
              <w:top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Не подлежат аттестации на СЗД</w:t>
            </w:r>
          </w:p>
        </w:tc>
      </w:tr>
      <w:tr>
        <w:trPr>
          <w:trHeight w:val="870" w:hRule="atLeast"/>
        </w:trPr>
        <w:tc>
          <w:tcPr>
            <w:tcW w:w="21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Педагогические работники</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Высшая</w:t>
            </w:r>
          </w:p>
        </w:tc>
        <w:tc>
          <w:tcPr>
            <w:tcW w:w="121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Первая</w:t>
            </w:r>
          </w:p>
        </w:tc>
        <w:tc>
          <w:tcPr>
            <w:tcW w:w="200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b/>
                <w:bCs/>
                <w:color w:themeColor="text1" w:val="000000"/>
                <w:sz w:val="24"/>
                <w:szCs w:val="24"/>
              </w:rPr>
              <w:t>Доля</w:t>
              <w:br/>
              <w:t xml:space="preserve">аттестованных педагогов </w:t>
            </w:r>
            <w:r>
              <w:rPr>
                <w:rFonts w:eastAsia="Times New Roman" w:cs="Times New Roman" w:ascii="Times New Roman" w:hAnsi="Times New Roman"/>
                <w:color w:themeColor="text1" w:val="000000"/>
                <w:sz w:val="24"/>
                <w:szCs w:val="24"/>
              </w:rPr>
              <w:t>(%)</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b/>
                <w:bCs/>
                <w:color w:themeColor="text1" w:val="000000"/>
                <w:sz w:val="24"/>
                <w:szCs w:val="24"/>
              </w:rPr>
              <w:t>СЗД</w:t>
              <w:br/>
            </w:r>
            <w:r>
              <w:rPr>
                <w:rFonts w:eastAsia="Times New Roman" w:cs="Times New Roman" w:ascii="Times New Roman" w:hAnsi="Times New Roman"/>
                <w:color w:themeColor="text1" w:val="000000"/>
                <w:sz w:val="24"/>
                <w:szCs w:val="24"/>
              </w:rPr>
              <w:t>(чел.)</w:t>
            </w:r>
          </w:p>
        </w:tc>
        <w:tc>
          <w:tcPr>
            <w:tcW w:w="1591" w:type="dxa"/>
            <w:vMerge w:val="continue"/>
            <w:tcBorders>
              <w:top w:val="single" w:sz="6" w:space="0" w:color="000000"/>
              <w:right w:val="single" w:sz="6" w:space="0" w:color="000000"/>
            </w:tcBorders>
            <w:shd w:color="auto" w:fill="auto" w:val="clear"/>
            <w:tcMar>
              <w:top w:w="100" w:type="dxa"/>
              <w:bottom w:w="100" w:type="dxa"/>
            </w:tcMar>
          </w:tcPr>
          <w:p>
            <w:pPr>
              <w:pStyle w:val="Normal"/>
              <w:spacing w:lineRule="auto" w:line="240" w:before="0" w:after="0"/>
              <w:ind w:firstLine="709"/>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r>
      <w:tr>
        <w:trPr>
          <w:trHeight w:val="600" w:hRule="atLeast"/>
        </w:trPr>
        <w:tc>
          <w:tcPr>
            <w:tcW w:w="21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Педагогические работники СОШ</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347</w:t>
            </w:r>
          </w:p>
        </w:tc>
        <w:tc>
          <w:tcPr>
            <w:tcW w:w="121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451</w:t>
            </w:r>
          </w:p>
        </w:tc>
        <w:tc>
          <w:tcPr>
            <w:tcW w:w="200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41</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306</w:t>
            </w:r>
          </w:p>
        </w:tc>
        <w:tc>
          <w:tcPr>
            <w:tcW w:w="1591" w:type="dxa"/>
            <w:tcBorders>
              <w:top w:val="single" w:sz="6" w:space="0" w:color="000000"/>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323</w:t>
            </w:r>
          </w:p>
        </w:tc>
      </w:tr>
      <w:tr>
        <w:trPr>
          <w:trHeight w:val="600" w:hRule="atLeast"/>
        </w:trPr>
        <w:tc>
          <w:tcPr>
            <w:tcW w:w="21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Педагогические работники ДОУ</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178</w:t>
            </w:r>
          </w:p>
        </w:tc>
        <w:tc>
          <w:tcPr>
            <w:tcW w:w="121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211</w:t>
            </w:r>
          </w:p>
        </w:tc>
        <w:tc>
          <w:tcPr>
            <w:tcW w:w="200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18</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114</w:t>
            </w:r>
          </w:p>
        </w:tc>
        <w:tc>
          <w:tcPr>
            <w:tcW w:w="1591"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99</w:t>
            </w:r>
          </w:p>
        </w:tc>
      </w:tr>
      <w:tr>
        <w:trPr>
          <w:trHeight w:val="600" w:hRule="atLeast"/>
        </w:trPr>
        <w:tc>
          <w:tcPr>
            <w:tcW w:w="21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Педагогические работники УДО</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15</w:t>
            </w:r>
          </w:p>
        </w:tc>
        <w:tc>
          <w:tcPr>
            <w:tcW w:w="121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w:t>
            </w:r>
          </w:p>
        </w:tc>
        <w:tc>
          <w:tcPr>
            <w:tcW w:w="200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1</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21</w:t>
            </w:r>
          </w:p>
        </w:tc>
        <w:tc>
          <w:tcPr>
            <w:tcW w:w="1591"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21</w:t>
            </w:r>
            <w:bookmarkStart w:id="6" w:name="_Hlk234844347"/>
            <w:bookmarkEnd w:id="6"/>
          </w:p>
        </w:tc>
      </w:tr>
      <w:tr>
        <w:trPr>
          <w:trHeight w:val="600" w:hRule="atLeast"/>
        </w:trPr>
        <w:tc>
          <w:tcPr>
            <w:tcW w:w="21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По округу</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540</w:t>
            </w:r>
          </w:p>
        </w:tc>
        <w:tc>
          <w:tcPr>
            <w:tcW w:w="121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668</w:t>
            </w:r>
          </w:p>
        </w:tc>
        <w:tc>
          <w:tcPr>
            <w:tcW w:w="200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60</w:t>
            </w:r>
          </w:p>
        </w:tc>
        <w:tc>
          <w:tcPr>
            <w:tcW w:w="1270"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441</w:t>
            </w:r>
          </w:p>
        </w:tc>
        <w:tc>
          <w:tcPr>
            <w:tcW w:w="1591"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443</w:t>
            </w:r>
          </w:p>
        </w:tc>
      </w:tr>
    </w:tbl>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b/>
        <w:t>Статистическая информация о доле аттестованных педагогических работников на квалификационные категории в разрезе образовательных организаций представлена в таблице.</w:t>
      </w:r>
    </w:p>
    <w:tbl>
      <w:tblPr>
        <w:tblW w:w="9461" w:type="dxa"/>
        <w:jc w:val="left"/>
        <w:tblInd w:w="100" w:type="dxa"/>
        <w:tblLayout w:type="fixed"/>
        <w:tblCellMar>
          <w:top w:w="0" w:type="dxa"/>
          <w:left w:w="100" w:type="dxa"/>
          <w:bottom w:w="0" w:type="dxa"/>
          <w:right w:w="100" w:type="dxa"/>
        </w:tblCellMar>
        <w:tblLook w:val="0600" w:noHBand="1" w:noVBand="1" w:firstColumn="0" w:lastRow="0" w:lastColumn="0" w:firstRow="0"/>
      </w:tblPr>
      <w:tblGrid>
        <w:gridCol w:w="2451"/>
        <w:gridCol w:w="1372"/>
        <w:gridCol w:w="1355"/>
        <w:gridCol w:w="1486"/>
        <w:gridCol w:w="1415"/>
        <w:gridCol w:w="1381"/>
      </w:tblGrid>
      <w:tr>
        <w:trPr>
          <w:trHeight w:val="585" w:hRule="atLeast"/>
        </w:trPr>
        <w:tc>
          <w:tcPr>
            <w:tcW w:w="2451" w:type="dxa"/>
            <w:vMerge w:val="restart"/>
            <w:tcBorders>
              <w:top w:val="single" w:sz="6" w:space="0" w:color="000000"/>
              <w:left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Наименование ОО</w:t>
            </w:r>
          </w:p>
        </w:tc>
        <w:tc>
          <w:tcPr>
            <w:tcW w:w="7009" w:type="dxa"/>
            <w:gridSpan w:val="5"/>
            <w:tcBorders>
              <w:top w:val="single" w:sz="6" w:space="0" w:color="000000"/>
              <w:left w:val="single" w:sz="6" w:space="0" w:color="000000"/>
              <w:bottom w:val="single" w:sz="6" w:space="0" w:color="000000"/>
              <w:right w:val="single" w:sz="6" w:space="0" w:color="000000"/>
            </w:tcBorders>
            <w:tcMar>
              <w:left w:w="108" w:type="dxa"/>
              <w:right w:w="108" w:type="dxa"/>
            </w:tcM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Доля аттестованных педагогов на квалификационные категории</w:t>
            </w:r>
          </w:p>
        </w:tc>
      </w:tr>
      <w:tr>
        <w:trPr>
          <w:trHeight w:val="300" w:hRule="atLeast"/>
        </w:trPr>
        <w:tc>
          <w:tcPr>
            <w:tcW w:w="2451" w:type="dxa"/>
            <w:vMerge w:val="continue"/>
            <w:tcBorders>
              <w:top w:val="single" w:sz="6" w:space="0" w:color="000000"/>
              <w:left w:val="single" w:sz="6" w:space="0" w:color="000000"/>
              <w:right w:val="single" w:sz="6" w:space="0" w:color="000000"/>
            </w:tcBorders>
            <w:shd w:color="auto" w:fill="auto" w:val="clear"/>
            <w:tcMar>
              <w:top w:w="100" w:type="dxa"/>
              <w:bottom w:w="100" w:type="dxa"/>
            </w:tcMar>
          </w:tcPr>
          <w:p>
            <w:pPr>
              <w:pStyle w:val="Normal"/>
              <w:spacing w:lineRule="auto" w:line="240" w:before="0" w:after="0"/>
              <w:ind w:firstLine="709"/>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372" w:type="dxa"/>
            <w:tcBorders>
              <w:top w:val="single" w:sz="6" w:space="0" w:color="000000"/>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2021-2022</w:t>
            </w:r>
          </w:p>
        </w:tc>
        <w:tc>
          <w:tcPr>
            <w:tcW w:w="1355" w:type="dxa"/>
            <w:tcBorders>
              <w:top w:val="single" w:sz="6" w:space="0" w:color="000000"/>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2022-2023</w:t>
            </w:r>
          </w:p>
        </w:tc>
        <w:tc>
          <w:tcPr>
            <w:tcW w:w="1486"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2023-2024</w:t>
            </w:r>
          </w:p>
        </w:tc>
        <w:tc>
          <w:tcPr>
            <w:tcW w:w="1415"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2024-2025</w:t>
            </w:r>
          </w:p>
        </w:tc>
        <w:tc>
          <w:tcPr>
            <w:tcW w:w="1381" w:type="dxa"/>
            <w:tcBorders>
              <w:bottom w:val="single" w:sz="6" w:space="0" w:color="000000"/>
              <w:right w:val="single" w:sz="6" w:space="0" w:color="000000"/>
            </w:tcBorders>
            <w:shd w:color="auto" w:fill="auto" w:val="clear"/>
          </w:tcPr>
          <w:p>
            <w:pPr>
              <w:pStyle w:val="Normal"/>
              <w:spacing w:lineRule="auto" w:line="276" w:before="240" w:after="0"/>
              <w:jc w:val="center"/>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2025-2026</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«Бабкинская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77</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75</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74</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70</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«Бершетская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70</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63</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60</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60</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62</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«Гамовская средняя школа «Алгоритм»</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61</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61</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62</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59</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59</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«Кондратовская средняя школа «Патриот»</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63</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63</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58</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59</w:t>
            </w:r>
          </w:p>
        </w:tc>
      </w:tr>
      <w:tr>
        <w:trPr>
          <w:trHeight w:val="1095"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«Кондратовская средняя школа «Сфера»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32</w:t>
            </w:r>
          </w:p>
        </w:tc>
      </w:tr>
      <w:tr>
        <w:trPr>
          <w:trHeight w:val="1095"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«Конзаводская средняя школа имени В.К. Блюхера»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44</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39</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44</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42</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«Култаевская средняя школа «Интеграция»</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62</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62</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57</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60</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57</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«Лобановская средняя школа «Вектор успеха»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45</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45</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61</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61</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58</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«Мулянская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54</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61</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45</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45</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43</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«Нижнемуллинская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82</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71</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51</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«Платошинская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62</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68</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65</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55</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52</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«Савинская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75</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74</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63</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«Сылвенская средняя школа имени поэта В. Каменского»</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70</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77</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71</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71</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57</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«Усть-Качкинская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42</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59</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53</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53</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56</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«Фроловская средняя школа «Навигатор»</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47</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44</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61</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59</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65</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«Юговская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74</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82</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55</w:t>
            </w:r>
          </w:p>
        </w:tc>
      </w:tr>
      <w:tr>
        <w:trPr>
          <w:trHeight w:val="825"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«Юго-Камская средняя школа»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49</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55</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57</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59</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right"/>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Итого по СОШ</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60</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bookmarkStart w:id="7" w:name="OLE_LINK1"/>
            <w:bookmarkStart w:id="8" w:name="OLE_LINK2"/>
            <w:r>
              <w:rPr>
                <w:rFonts w:eastAsia="Times New Roman" w:cs="Times New Roman" w:ascii="Times New Roman" w:hAnsi="Times New Roman"/>
                <w:b/>
                <w:bCs/>
                <w:color w:themeColor="text1" w:val="000000"/>
                <w:sz w:val="24"/>
                <w:szCs w:val="24"/>
              </w:rPr>
              <w:t>58,7</w:t>
            </w:r>
            <w:bookmarkEnd w:id="7"/>
            <w:bookmarkEnd w:id="8"/>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r>
          </w:p>
          <w:p>
            <w:pPr>
              <w:pStyle w:val="Normal"/>
              <w:spacing w:lineRule="auto" w:line="276" w:before="0" w:after="0"/>
              <w:ind w:right="43"/>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60,5</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r>
          </w:p>
          <w:p>
            <w:pPr>
              <w:pStyle w:val="Normal"/>
              <w:spacing w:lineRule="auto" w:line="276" w:before="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58,6</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r>
          </w:p>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56</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«Гамовский детский сад «Мозаика»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63</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71</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72</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77</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74</w:t>
            </w:r>
          </w:p>
        </w:tc>
      </w:tr>
      <w:tr>
        <w:trPr>
          <w:trHeight w:val="114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«Двуреченский детский сад «Семицветик»</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39</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48</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50</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56</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62</w:t>
            </w:r>
          </w:p>
        </w:tc>
      </w:tr>
      <w:tr>
        <w:trPr>
          <w:trHeight w:val="114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«Кондратовский детский сад «Акварельки»</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47</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45</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73</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44</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48</w:t>
            </w:r>
          </w:p>
        </w:tc>
      </w:tr>
      <w:tr>
        <w:trPr>
          <w:trHeight w:val="114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«Кондратовский детский сад «Ладошки»</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67</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67</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70</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70</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65</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«Култаевский детский сад «Егоза»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51</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60</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65</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71</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68</w:t>
            </w:r>
          </w:p>
        </w:tc>
      </w:tr>
      <w:tr>
        <w:trPr>
          <w:trHeight w:val="1095"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«Култаевский детский сад «Колокольчик»</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85</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74</w:t>
            </w:r>
          </w:p>
        </w:tc>
      </w:tr>
      <w:tr>
        <w:trPr>
          <w:trHeight w:val="114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«Лобановский детский сад «Солнечный город»</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70</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65</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66</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66</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64</w:t>
            </w:r>
          </w:p>
        </w:tc>
      </w:tr>
      <w:tr>
        <w:trPr>
          <w:trHeight w:val="114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«Платошинский детский сад «Солнышко»</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77</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78</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75</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76</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81</w:t>
            </w:r>
          </w:p>
        </w:tc>
      </w:tr>
      <w:tr>
        <w:trPr>
          <w:trHeight w:val="269"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«Сылвенский детский сад «Рябинка»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35</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38</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38</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41</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57</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«Юго-Камский детский сад «Планета детства»</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54</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56</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49</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56</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51</w:t>
            </w:r>
          </w:p>
        </w:tc>
      </w:tr>
      <w:tr>
        <w:trPr>
          <w:trHeight w:val="87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МАДОУ «Савинский детский сад «Мечтатели»</w:t>
            </w:r>
          </w:p>
        </w:tc>
        <w:tc>
          <w:tcPr>
            <w:tcW w:w="1372"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40</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33</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spacing w:lineRule="auto" w:line="276" w:before="0" w:after="0"/>
              <w:ind w:right="88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28</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right"/>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Итого по ДОУ</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58</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61,7</w:t>
            </w:r>
          </w:p>
        </w:tc>
        <w:tc>
          <w:tcPr>
            <w:tcW w:w="1486"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r>
          </w:p>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62</w:t>
            </w:r>
          </w:p>
        </w:tc>
        <w:tc>
          <w:tcPr>
            <w:tcW w:w="1415"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r>
          </w:p>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62</w:t>
            </w:r>
          </w:p>
        </w:tc>
        <w:tc>
          <w:tcPr>
            <w:tcW w:w="1381" w:type="dxa"/>
            <w:tcBorders>
              <w:bottom w:val="single" w:sz="6" w:space="0" w:color="000000"/>
              <w:right w:val="single" w:sz="6" w:space="0" w:color="000000"/>
            </w:tcBorders>
            <w:shd w:color="auto" w:fill="auto" w:val="clear"/>
          </w:tcPr>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r>
          </w:p>
          <w:p>
            <w:pPr>
              <w:pStyle w:val="Normal"/>
              <w:spacing w:lineRule="auto" w:line="276" w:before="0" w:after="0"/>
              <w:ind w:right="88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64</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ДО «Детско-юношеский центр «Импульс»</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48</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42,8</w:t>
            </w:r>
          </w:p>
        </w:tc>
        <w:tc>
          <w:tcPr>
            <w:tcW w:w="1486"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34</w:t>
            </w:r>
          </w:p>
        </w:tc>
        <w:tc>
          <w:tcPr>
            <w:tcW w:w="141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50</w:t>
            </w:r>
          </w:p>
        </w:tc>
        <w:tc>
          <w:tcPr>
            <w:tcW w:w="1381"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40</w:t>
            </w:r>
          </w:p>
        </w:tc>
      </w:tr>
      <w:tr>
        <w:trPr>
          <w:trHeight w:val="63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МАОУ ДО «Спортивная школа «Вихрь»</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35</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59,3</w:t>
            </w:r>
          </w:p>
        </w:tc>
        <w:tc>
          <w:tcPr>
            <w:tcW w:w="1486"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31</w:t>
            </w:r>
          </w:p>
        </w:tc>
        <w:tc>
          <w:tcPr>
            <w:tcW w:w="141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22</w:t>
            </w:r>
          </w:p>
        </w:tc>
        <w:tc>
          <w:tcPr>
            <w:tcW w:w="1381"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28</w:t>
            </w:r>
          </w:p>
        </w:tc>
      </w:tr>
      <w:tr>
        <w:trPr>
          <w:trHeight w:val="540" w:hRule="atLeast"/>
        </w:trPr>
        <w:tc>
          <w:tcPr>
            <w:tcW w:w="2451" w:type="dxa"/>
            <w:tcBorders>
              <w:left w:val="single" w:sz="6" w:space="0" w:color="000000"/>
              <w:bottom w:val="single" w:sz="6" w:space="0" w:color="000000"/>
              <w:right w:val="single" w:sz="6" w:space="0" w:color="000000"/>
            </w:tcBorders>
            <w:shd w:color="auto" w:fill="auto" w:val="clear"/>
          </w:tcPr>
          <w:p>
            <w:pPr>
              <w:pStyle w:val="Normal"/>
              <w:spacing w:lineRule="auto" w:line="276" w:before="240" w:after="0"/>
              <w:jc w:val="right"/>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Итого по УДО</w:t>
            </w:r>
          </w:p>
        </w:tc>
        <w:tc>
          <w:tcPr>
            <w:tcW w:w="1372"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41</w:t>
            </w:r>
          </w:p>
        </w:tc>
        <w:tc>
          <w:tcPr>
            <w:tcW w:w="135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37,2</w:t>
            </w:r>
          </w:p>
        </w:tc>
        <w:tc>
          <w:tcPr>
            <w:tcW w:w="1486"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33,8</w:t>
            </w:r>
          </w:p>
        </w:tc>
        <w:tc>
          <w:tcPr>
            <w:tcW w:w="1415"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32</w:t>
            </w:r>
          </w:p>
        </w:tc>
        <w:tc>
          <w:tcPr>
            <w:tcW w:w="1381" w:type="dxa"/>
            <w:tcBorders>
              <w:bottom w:val="single" w:sz="6" w:space="0" w:color="000000"/>
              <w:right w:val="single" w:sz="6" w:space="0" w:color="000000"/>
            </w:tcBorders>
            <w:shd w:color="auto" w:fill="auto" w:val="clear"/>
          </w:tcPr>
          <w:p>
            <w:pPr>
              <w:pStyle w:val="Normal"/>
              <w:spacing w:lineRule="auto" w:line="276" w:before="240" w:after="0"/>
              <w:jc w:val="both"/>
              <w:rPr>
                <w:rFonts w:ascii="Times New Roman" w:hAnsi="Times New Roman" w:eastAsia="Times New Roman" w:cs="Times New Roman"/>
                <w:b/>
                <w:bCs/>
                <w:color w:themeColor="text1" w:val="000000"/>
                <w:sz w:val="24"/>
                <w:szCs w:val="24"/>
              </w:rPr>
            </w:pPr>
            <w:r>
              <w:rPr>
                <w:rFonts w:eastAsia="Times New Roman" w:cs="Times New Roman" w:ascii="Times New Roman" w:hAnsi="Times New Roman"/>
                <w:b/>
                <w:bCs/>
                <w:color w:themeColor="text1" w:val="000000"/>
                <w:sz w:val="24"/>
                <w:szCs w:val="24"/>
              </w:rPr>
              <w:t>33</w:t>
            </w:r>
          </w:p>
        </w:tc>
      </w:tr>
    </w:tbl>
    <w:p>
      <w:pPr>
        <w:pStyle w:val="Normal"/>
        <w:widowControl w:val="false"/>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b/>
        <w:t xml:space="preserve">В образовательных организациях видна определенная система подготовки педагогов к аттестации в межаттестационный период, прослеживается работа всей управленческой команды. Такая систематическая работа позволила сформировать обобщенную характеристику деятельности педагога, которая служит основанием для экспертизы во время проведения аттестационных процедур. Результаты аттестации в целом свидетельствуют о положительной динамике профессионального роста педагогических работников. Так, положительная динамика увеличения числа педагогов, имеющих первую и высшую квалификационные категории наблюдается в следующих общеобразовательных организациях: МАОУ «Бершетская средняя школа», МАОУ «Кондратовская средняя школа «Патриот», МАОУ «Усть -Качкинская средняя школа», МАОУ «Фроловская средняя школа «Навигатор», МАОУ «Юго - Камская средняя школа» и в дошкольных учреждениях: МАДОУ «Двуреченский детский сад «Семицветик», МАДОУ «Кондратовский детский сад «Акварельки», «Платошинский детский сад «Солнышко», МАДОУ «Сылвенский детский сад «Рябинка». </w:t>
      </w:r>
    </w:p>
    <w:p>
      <w:pPr>
        <w:pStyle w:val="Normal"/>
        <w:widowControl w:val="false"/>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ab/>
      </w:r>
      <w:bookmarkStart w:id="9" w:name="OLE_LINK7"/>
      <w:bookmarkStart w:id="10" w:name="OLE_LINK8"/>
      <w:bookmarkStart w:id="11" w:name="OLE_LINK5"/>
      <w:bookmarkStart w:id="12" w:name="OLE_LINK6"/>
      <w:r>
        <w:rPr>
          <w:rFonts w:eastAsia="Times New Roman" w:cs="Times New Roman" w:ascii="Times New Roman" w:hAnsi="Times New Roman"/>
          <w:color w:themeColor="text1" w:val="000000"/>
          <w:sz w:val="24"/>
          <w:szCs w:val="24"/>
        </w:rPr>
        <w:t>Квалификация и аттестация педагогических кадров остаются важнейшим элементом развития образования. Так в Пермском муниципальном округе несколько педагогов являются экспертами для проведения экспертизы материалов педагогических работников Пермского края, имеющие высокий профессиональный опыт педагогической деятельности.</w:t>
      </w:r>
    </w:p>
    <w:p>
      <w:pPr>
        <w:pStyle w:val="Normal"/>
        <w:widowControl w:val="false"/>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widowControl w:val="false"/>
        <w:spacing w:lineRule="auto" w:line="240" w:before="0" w:after="0"/>
        <w:jc w:val="center"/>
        <w:rPr>
          <w:rFonts w:ascii="Times New Roman" w:hAnsi="Times New Roman" w:eastAsia="Times New Roman" w:cs="Times New Roman"/>
          <w:i/>
          <w:i/>
          <w:color w:themeColor="text1" w:val="000000"/>
          <w:sz w:val="24"/>
          <w:szCs w:val="24"/>
        </w:rPr>
      </w:pPr>
      <w:r>
        <w:rPr>
          <w:rFonts w:eastAsia="Times New Roman" w:cs="Times New Roman" w:ascii="Times New Roman" w:hAnsi="Times New Roman"/>
          <w:i/>
          <w:color w:themeColor="text1" w:val="000000"/>
          <w:sz w:val="24"/>
          <w:szCs w:val="24"/>
        </w:rPr>
        <w:t>Эксперты</w:t>
      </w:r>
      <w:r>
        <w:rPr>
          <w:i/>
          <w:color w:themeColor="text1" w:val="000000"/>
        </w:rPr>
        <w:t xml:space="preserve"> </w:t>
      </w:r>
      <w:r>
        <w:rPr>
          <w:rFonts w:eastAsia="Times New Roman" w:cs="Times New Roman" w:ascii="Times New Roman" w:hAnsi="Times New Roman"/>
          <w:i/>
          <w:color w:themeColor="text1" w:val="000000"/>
          <w:sz w:val="24"/>
          <w:szCs w:val="24"/>
        </w:rPr>
        <w:t xml:space="preserve">для проведения экспертизы материалов педагогических работников, аттестующихся с целью установления высшей квалификационной категории </w:t>
        <w:br/>
        <w:t>на 2025 -2026 учебный год:</w:t>
      </w:r>
      <w:bookmarkEnd w:id="11"/>
      <w:bookmarkEnd w:id="12"/>
    </w:p>
    <w:p>
      <w:pPr>
        <w:pStyle w:val="Normal"/>
        <w:widowControl w:val="false"/>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Ошева Людмила Павловна, заместитель директора по учебно- воспитательной работе, учитель химии МАОУ «Култаевская средняя школ «Интеграция»</w:t>
      </w:r>
    </w:p>
    <w:p>
      <w:pPr>
        <w:pStyle w:val="Normal"/>
        <w:widowControl w:val="false"/>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Каракулова Людмила Васильевна, директор МАОУ «Юго-Камская средняя школа»</w:t>
      </w:r>
    </w:p>
    <w:p>
      <w:pPr>
        <w:pStyle w:val="Normal"/>
        <w:widowControl w:val="false"/>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xml:space="preserve">- Шишкина Мария Владимировна, музыкальный руководитель </w:t>
      </w:r>
      <w:bookmarkStart w:id="13" w:name="OLE_LINK3"/>
      <w:bookmarkStart w:id="14" w:name="OLE_LINK4"/>
      <w:r>
        <w:rPr>
          <w:rFonts w:eastAsia="Times New Roman" w:cs="Times New Roman" w:ascii="Times New Roman" w:hAnsi="Times New Roman"/>
          <w:color w:themeColor="text1" w:val="000000"/>
          <w:sz w:val="24"/>
          <w:szCs w:val="24"/>
        </w:rPr>
        <w:t>МАДОУ «Култаевский детский сад «Колокольчик»</w:t>
      </w:r>
      <w:bookmarkEnd w:id="13"/>
      <w:bookmarkEnd w:id="14"/>
    </w:p>
    <w:p>
      <w:pPr>
        <w:pStyle w:val="Normal"/>
        <w:widowControl w:val="false"/>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Ярулина Эльвира Фаритовна, МАДОУ «Култаевский детский сад «Колокольчик»</w:t>
      </w:r>
    </w:p>
    <w:p>
      <w:pPr>
        <w:pStyle w:val="Normal"/>
        <w:widowControl w:val="false"/>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 Давыдова Татьяна Борисовна, воспитатель МАДОУ «Лобановский детский сад «Солнечный город».</w:t>
      </w:r>
    </w:p>
    <w:p>
      <w:pPr>
        <w:pStyle w:val="Normal"/>
        <w:widowControl w:val="false"/>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widowControl w:val="false"/>
        <w:tabs>
          <w:tab w:val="clear" w:pos="720"/>
          <w:tab w:val="left" w:pos="-283" w:leader="none"/>
        </w:tabs>
        <w:spacing w:lineRule="auto" w:line="240" w:before="0" w:after="0"/>
        <w:jc w:val="center"/>
        <w:rPr>
          <w:rFonts w:ascii="Times New Roman" w:hAnsi="Times New Roman" w:eastAsia="Times New Roman" w:cs="Times New Roman"/>
          <w:i/>
          <w:i/>
          <w:color w:themeColor="text1" w:val="000000"/>
          <w:sz w:val="24"/>
          <w:szCs w:val="24"/>
        </w:rPr>
      </w:pPr>
      <w:r>
        <w:rPr>
          <w:rFonts w:eastAsia="Times New Roman" w:cs="Times New Roman" w:ascii="Times New Roman" w:hAnsi="Times New Roman"/>
          <w:i/>
          <w:color w:themeColor="text1" w:val="000000"/>
          <w:sz w:val="24"/>
          <w:szCs w:val="24"/>
        </w:rPr>
        <w:t>Эксперты</w:t>
      </w:r>
      <w:r>
        <w:rPr>
          <w:i/>
          <w:color w:themeColor="text1" w:val="000000"/>
        </w:rPr>
        <w:t xml:space="preserve"> </w:t>
      </w:r>
      <w:r>
        <w:rPr>
          <w:rFonts w:eastAsia="Times New Roman" w:cs="Times New Roman" w:ascii="Times New Roman" w:hAnsi="Times New Roman"/>
          <w:i/>
          <w:color w:themeColor="text1" w:val="000000"/>
          <w:sz w:val="24"/>
          <w:szCs w:val="24"/>
        </w:rPr>
        <w:t xml:space="preserve">для проведения экспертизы материалов педагогических работников, аттестующихся с целью установления первой квалификационной категории </w:t>
        <w:br/>
        <w:t>на 2025 -2026 учебный год:</w:t>
      </w:r>
    </w:p>
    <w:p>
      <w:pPr>
        <w:pStyle w:val="Normal"/>
        <w:widowControl w:val="false"/>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Сальникова Анна Владимировна, учитель музыки МАОУ «Гамовская средняя школа «Алгоритм»</w:t>
      </w:r>
    </w:p>
    <w:p>
      <w:pPr>
        <w:pStyle w:val="Normal"/>
        <w:widowControl w:val="false"/>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Веселовских Татьяна Николаевна, учитель начальных классов МАОУ «Гамовская средняя школа «Алгоритм»</w:t>
      </w:r>
    </w:p>
    <w:p>
      <w:pPr>
        <w:pStyle w:val="Normal"/>
        <w:widowControl w:val="false"/>
        <w:tabs>
          <w:tab w:val="clear" w:pos="720"/>
          <w:tab w:val="left" w:pos="-283" w:leader="none"/>
        </w:tabs>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Неведицына Татьяна Витальевна, методист МАДОУ «Сылвенский детский сад «Рябинка»</w:t>
      </w:r>
    </w:p>
    <w:p>
      <w:pPr>
        <w:pStyle w:val="Normal"/>
        <w:widowControl w:val="false"/>
        <w:tabs>
          <w:tab w:val="clear" w:pos="720"/>
          <w:tab w:val="left" w:pos="-283" w:leader="none"/>
        </w:tabs>
        <w:spacing w:lineRule="auto" w:line="240" w:before="0" w:after="0"/>
        <w:jc w:val="center"/>
        <w:rPr>
          <w:rFonts w:ascii="Times New Roman" w:hAnsi="Times New Roman" w:eastAsia="Times New Roman" w:cs="Times New Roman"/>
          <w:i/>
          <w:i/>
          <w:color w:themeColor="text1" w:val="000000"/>
          <w:sz w:val="24"/>
          <w:szCs w:val="24"/>
        </w:rPr>
      </w:pPr>
      <w:r>
        <w:rPr>
          <w:rFonts w:eastAsia="Times New Roman" w:cs="Times New Roman" w:ascii="Times New Roman" w:hAnsi="Times New Roman"/>
          <w:i/>
          <w:color w:themeColor="text1" w:val="000000"/>
          <w:sz w:val="24"/>
          <w:szCs w:val="24"/>
        </w:rPr>
      </w:r>
    </w:p>
    <w:p>
      <w:pPr>
        <w:pStyle w:val="Normal"/>
        <w:widowControl w:val="false"/>
        <w:tabs>
          <w:tab w:val="clear" w:pos="720"/>
          <w:tab w:val="left" w:pos="-283" w:leader="none"/>
        </w:tabs>
        <w:spacing w:lineRule="auto" w:line="240" w:before="0" w:after="0"/>
        <w:jc w:val="center"/>
        <w:rPr>
          <w:color w:themeColor="text1" w:val="000000"/>
        </w:rPr>
      </w:pPr>
      <w:r>
        <w:rPr>
          <w:rFonts w:eastAsia="Times New Roman" w:cs="Times New Roman" w:ascii="Times New Roman" w:hAnsi="Times New Roman"/>
          <w:i/>
          <w:color w:themeColor="text1" w:val="000000"/>
          <w:sz w:val="24"/>
          <w:szCs w:val="24"/>
        </w:rPr>
        <w:t>Эксперты для проведения экспертизы материалов педагогических работников, аттестующихся с целью установления квалификационной категории</w:t>
        <w:br/>
        <w:t xml:space="preserve"> «педагог-методист» на 2025 -2026 учебный год:</w:t>
      </w:r>
    </w:p>
    <w:p>
      <w:pPr>
        <w:pStyle w:val="Normal"/>
        <w:widowControl w:val="false"/>
        <w:tabs>
          <w:tab w:val="clear" w:pos="720"/>
          <w:tab w:val="left" w:pos="-283" w:leader="none"/>
        </w:tabs>
        <w:spacing w:lineRule="auto" w:line="240" w:before="0" w:after="0"/>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t>Романова Елена Вениаминовна, учитель русского языка и литературы МАОУ  «Нижнемуллинская средняя школа».</w:t>
      </w:r>
      <w:bookmarkEnd w:id="9"/>
      <w:bookmarkEnd w:id="10"/>
    </w:p>
    <w:p>
      <w:pPr>
        <w:pStyle w:val="Normal"/>
        <w:widowControl w:val="false"/>
        <w:spacing w:lineRule="auto" w:line="240" w:before="0" w:after="0"/>
        <w:ind w:left="113"/>
        <w:jc w:val="both"/>
        <w:rPr>
          <w:rFonts w:ascii="Times New Roman" w:hAnsi="Times New Roman" w:eastAsia="Times New Roman" w:cs="Times New Roman"/>
          <w:color w:themeColor="text1" w:val="000000"/>
          <w:sz w:val="24"/>
          <w:szCs w:val="24"/>
        </w:rPr>
      </w:pPr>
      <w:r>
        <w:rPr>
          <w:rFonts w:eastAsia="Times New Roman" w:cs="Times New Roman" w:ascii="Times New Roman" w:hAnsi="Times New Roman"/>
          <w:color w:themeColor="text1" w:val="000000"/>
          <w:sz w:val="24"/>
          <w:szCs w:val="24"/>
        </w:rPr>
      </w:r>
    </w:p>
    <w:p>
      <w:pPr>
        <w:pStyle w:val="Normal"/>
        <w:widowControl w:val="false"/>
        <w:spacing w:lineRule="auto" w:line="240" w:before="0" w:after="0"/>
        <w:ind w:left="57"/>
        <w:jc w:val="both"/>
        <w:rPr>
          <w:rFonts w:ascii="Times New Roman" w:hAnsi="Times New Roman" w:eastAsia="Times New Roman" w:cs="Times New Roman"/>
          <w:b/>
          <w:color w:themeColor="text1" w:val="000000"/>
          <w:sz w:val="24"/>
          <w:szCs w:val="24"/>
        </w:rPr>
      </w:pPr>
      <w:r>
        <w:rPr>
          <w:rFonts w:eastAsia="Times New Roman" w:cs="Times New Roman" w:ascii="Times New Roman" w:hAnsi="Times New Roman"/>
          <w:b/>
          <w:color w:themeColor="text1" w:val="000000"/>
          <w:sz w:val="24"/>
          <w:szCs w:val="24"/>
        </w:rPr>
        <w:t>Вывод по разделу:</w:t>
      </w:r>
    </w:p>
    <w:p>
      <w:pPr>
        <w:pStyle w:val="Normal"/>
        <w:widowControl w:val="false"/>
        <w:spacing w:lineRule="auto" w:line="240" w:before="0" w:after="0"/>
        <w:ind w:left="57"/>
        <w:jc w:val="both"/>
        <w:rPr>
          <w:color w:themeColor="text1" w:val="000000"/>
        </w:rPr>
      </w:pPr>
      <w:r>
        <w:rPr>
          <w:rFonts w:eastAsia="Times New Roman" w:cs="Times New Roman" w:ascii="Times New Roman" w:hAnsi="Times New Roman"/>
          <w:color w:themeColor="text1" w:val="000000"/>
          <w:sz w:val="24"/>
          <w:szCs w:val="24"/>
        </w:rPr>
        <w:t>- 2025-2026</w:t>
      </w:r>
      <w:r>
        <w:rPr>
          <w:rFonts w:eastAsia="Times New Roman" w:cs="Times New Roman" w:ascii="Times New Roman" w:hAnsi="Times New Roman"/>
          <w:bCs/>
          <w:color w:themeColor="text1" w:val="000000"/>
          <w:sz w:val="24"/>
          <w:szCs w:val="24"/>
        </w:rPr>
        <w:t xml:space="preserve"> учебном году наблюдается положительная динамика количества поданных заявлений (+9 по сравнению с прошлым годом, всего 318 заявлений), что свидетельствует о повышении мотивации педагогов к прохождению аттестационных процедур и развитию профессиональной карьеры;</w:t>
      </w:r>
    </w:p>
    <w:p>
      <w:pPr>
        <w:pStyle w:val="Normal"/>
        <w:widowControl w:val="false"/>
        <w:spacing w:lineRule="auto" w:line="240" w:before="0" w:after="0"/>
        <w:ind w:left="57"/>
        <w:jc w:val="both"/>
        <w:rPr>
          <w:color w:themeColor="text1" w:val="000000"/>
        </w:rPr>
      </w:pPr>
      <w:r>
        <w:rPr>
          <w:rFonts w:eastAsia="Times New Roman" w:cs="Times New Roman" w:ascii="Times New Roman" w:hAnsi="Times New Roman"/>
          <w:bCs/>
          <w:color w:themeColor="text1" w:val="000000"/>
          <w:sz w:val="24"/>
          <w:szCs w:val="24"/>
        </w:rPr>
        <w:t>- высокий уровень успешности (большинство аттестуемых (87%, 278 педагогов из 318) успешно прошли процедуру) - это говорит о качественной подготовке педагогов и эффективной работе методических служб внутри учреждений;</w:t>
      </w:r>
    </w:p>
    <w:p>
      <w:pPr>
        <w:pStyle w:val="Normal"/>
        <w:widowControl w:val="false"/>
        <w:spacing w:lineRule="auto" w:line="240" w:before="0" w:after="0"/>
        <w:ind w:left="57"/>
        <w:jc w:val="both"/>
        <w:rPr>
          <w:color w:themeColor="text1" w:val="000000"/>
        </w:rPr>
      </w:pPr>
      <w:r>
        <w:rPr>
          <w:rFonts w:eastAsia="Times New Roman" w:cs="Times New Roman" w:ascii="Times New Roman" w:hAnsi="Times New Roman"/>
          <w:bCs/>
          <w:color w:themeColor="text1" w:val="000000"/>
          <w:sz w:val="24"/>
          <w:szCs w:val="24"/>
        </w:rPr>
        <w:t>- устойчивый рост высшей категории: отмечено ежегодное увеличение количества педагогов с высшей квалификационной категорией - это позитивная тенденция, указывающая на углубление профессионального мастерства кадрового состава;</w:t>
      </w:r>
    </w:p>
    <w:p>
      <w:pPr>
        <w:pStyle w:val="Normal"/>
        <w:widowControl w:val="false"/>
        <w:spacing w:lineRule="auto" w:line="240" w:before="0" w:after="0"/>
        <w:ind w:left="57"/>
        <w:jc w:val="both"/>
        <w:rPr>
          <w:color w:themeColor="text1" w:val="000000"/>
        </w:rPr>
      </w:pPr>
      <w:r>
        <w:rPr>
          <w:rFonts w:eastAsia="Times New Roman" w:cs="Times New Roman" w:ascii="Times New Roman" w:hAnsi="Times New Roman"/>
          <w:bCs/>
          <w:color w:themeColor="text1" w:val="000000"/>
          <w:sz w:val="24"/>
          <w:szCs w:val="24"/>
        </w:rPr>
        <w:t>- лидерство дошкольных учреждений: по итогам года доля аттестованных педагогов в системе ДОУ выросла до 64% (с 62% в прошлом году), что является самым высоким показателем среди всех уровней образования и свидетельствует о системной работе в этой сфере;</w:t>
      </w:r>
    </w:p>
    <w:p>
      <w:pPr>
        <w:pStyle w:val="Normal"/>
        <w:widowControl w:val="false"/>
        <w:spacing w:lineRule="auto" w:line="240" w:before="0" w:after="0"/>
        <w:ind w:left="57"/>
        <w:jc w:val="both"/>
        <w:rPr>
          <w:color w:themeColor="text1" w:val="000000"/>
        </w:rPr>
      </w:pPr>
      <w:r>
        <w:rPr>
          <w:rFonts w:eastAsia="Times New Roman" w:cs="Times New Roman" w:ascii="Times New Roman" w:hAnsi="Times New Roman"/>
          <w:color w:themeColor="text1" w:val="000000"/>
          <w:sz w:val="24"/>
          <w:szCs w:val="24"/>
        </w:rPr>
        <w:t xml:space="preserve">- </w:t>
      </w:r>
      <w:r>
        <w:rPr>
          <w:rFonts w:eastAsia="Times New Roman" w:cs="Times New Roman" w:ascii="Times New Roman" w:hAnsi="Times New Roman"/>
          <w:bCs/>
          <w:color w:themeColor="text1" w:val="000000"/>
          <w:sz w:val="24"/>
          <w:szCs w:val="24"/>
        </w:rPr>
        <w:t>высокий процент «отказников» в СОШ: из 21 педагога, не приступивших к аттестации, 14 человек приходятся именно на школы (учителя). Это указывает либо на страх педагогов перед процедурой, либо на недостаточную разъяснительную работу на уровне директоров школ;</w:t>
      </w:r>
    </w:p>
    <w:p>
      <w:pPr>
        <w:pStyle w:val="Normal"/>
        <w:widowControl w:val="false"/>
        <w:spacing w:lineRule="auto" w:line="240" w:before="0" w:after="0"/>
        <w:ind w:left="57"/>
        <w:jc w:val="both"/>
        <w:rPr>
          <w:color w:themeColor="text1" w:val="000000"/>
        </w:rPr>
      </w:pPr>
      <w:r>
        <w:rPr>
          <w:rFonts w:eastAsia="Times New Roman" w:cs="Times New Roman" w:ascii="Times New Roman" w:hAnsi="Times New Roman"/>
          <w:bCs/>
          <w:color w:themeColor="text1" w:val="000000"/>
          <w:sz w:val="24"/>
          <w:szCs w:val="24"/>
        </w:rPr>
        <w:t>- отрицательные экспертные заключения: в 19 случаях вынесен вердикт «Не аттестовано» (особенно много в СОШ - 12 учителей по первой категории) - это говорит о несоответствии заявленных материалов требованиям или о недостаточной подготовке пакета документов.</w:t>
      </w:r>
    </w:p>
    <w:p>
      <w:pPr>
        <w:pStyle w:val="Normal"/>
        <w:widowControl w:val="false"/>
        <w:spacing w:lineRule="auto" w:line="240" w:before="0" w:after="0"/>
        <w:ind w:left="57"/>
        <w:jc w:val="both"/>
        <w:rPr>
          <w:color w:themeColor="text1" w:val="000000"/>
        </w:rPr>
      </w:pPr>
      <w:r>
        <w:rPr>
          <w:rFonts w:eastAsia="Times New Roman" w:cs="Times New Roman" w:ascii="Times New Roman" w:hAnsi="Times New Roman"/>
          <w:b/>
          <w:color w:themeColor="text1" w:val="000000"/>
          <w:sz w:val="24"/>
          <w:szCs w:val="24"/>
        </w:rPr>
        <w:t>Рекомендации:</w:t>
      </w:r>
    </w:p>
    <w:p>
      <w:pPr>
        <w:pStyle w:val="Normal"/>
        <w:spacing w:lineRule="auto" w:line="240" w:before="0" w:after="0"/>
        <w:ind w:left="57"/>
        <w:jc w:val="both"/>
        <w:rPr>
          <w:color w:themeColor="text1" w:val="000000"/>
        </w:rPr>
      </w:pPr>
      <w:r>
        <w:rPr>
          <w:rFonts w:eastAsia="Times New Roman" w:cs="Times New Roman" w:ascii="Times New Roman" w:hAnsi="Times New Roman"/>
          <w:color w:themeColor="text1" w:val="000000"/>
          <w:sz w:val="24"/>
          <w:szCs w:val="24"/>
        </w:rPr>
        <w:t>- проанализировать результаты аттестации педагогов за 2025-2026 учебный год, особенно организациям, в которых педагоги получали отрицательные экспертные заключения (</w:t>
      </w:r>
      <w:r>
        <w:rPr>
          <w:rFonts w:cs="Times New Roman" w:ascii="Times New Roman" w:hAnsi="Times New Roman"/>
          <w:color w:themeColor="text1" w:val="000000"/>
          <w:sz w:val="24"/>
          <w:szCs w:val="24"/>
        </w:rPr>
        <w:t>по каждому случаю выявить причину (оформление, несоответствие критериям, слабая доказательная база);</w:t>
      </w:r>
    </w:p>
    <w:p>
      <w:pPr>
        <w:pStyle w:val="Normal"/>
        <w:spacing w:lineRule="auto" w:line="240" w:before="0" w:after="0"/>
        <w:ind w:left="57"/>
        <w:jc w:val="both"/>
        <w:rPr>
          <w:color w:themeColor="text1" w:val="000000"/>
        </w:rPr>
      </w:pPr>
      <w:r>
        <w:rPr>
          <w:rFonts w:eastAsia="Times New Roman" w:cs="Times New Roman" w:ascii="Times New Roman" w:hAnsi="Times New Roman"/>
          <w:color w:themeColor="text1" w:val="000000"/>
          <w:sz w:val="24"/>
          <w:szCs w:val="24"/>
        </w:rPr>
        <w:t>- принять необходимые управленческие решения по итогам анализа;</w:t>
      </w:r>
    </w:p>
    <w:p>
      <w:pPr>
        <w:pStyle w:val="Normal"/>
        <w:spacing w:lineRule="auto" w:line="240" w:before="0" w:after="0"/>
        <w:ind w:left="57"/>
        <w:jc w:val="both"/>
        <w:rPr>
          <w:color w:themeColor="text1" w:val="000000"/>
        </w:rPr>
      </w:pPr>
      <w:r>
        <w:rPr>
          <w:rFonts w:eastAsia="Times New Roman" w:cs="Times New Roman" w:ascii="Times New Roman" w:hAnsi="Times New Roman"/>
          <w:color w:themeColor="text1" w:val="000000"/>
          <w:sz w:val="24"/>
          <w:szCs w:val="24"/>
        </w:rPr>
        <w:t>- вести контроль за прохождением аттестации с целью подтверждения соответствия занимаемой должности;</w:t>
      </w:r>
    </w:p>
    <w:p>
      <w:pPr>
        <w:pStyle w:val="Normal"/>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увеличивать долю аттестованных педагогов на 1 и высшую квалификационные категории;</w:t>
      </w:r>
    </w:p>
    <w:p>
      <w:pPr>
        <w:pStyle w:val="normal11"/>
        <w:spacing w:lineRule="auto" w:line="240" w:before="0" w:after="0"/>
        <w:jc w:val="both"/>
        <w:rPr>
          <w:color w:themeColor="text1" w:val="000000"/>
        </w:rPr>
      </w:pPr>
      <w:r>
        <w:rPr>
          <w:rFonts w:eastAsia="Times New Roman" w:cs="Times New Roman" w:ascii="Times New Roman" w:hAnsi="Times New Roman"/>
          <w:color w:themeColor="text1" w:val="000000"/>
          <w:sz w:val="24"/>
          <w:szCs w:val="24"/>
        </w:rPr>
        <w:t xml:space="preserve">- </w:t>
      </w:r>
      <w:r>
        <w:rPr>
          <w:rStyle w:val="Strong"/>
          <w:rFonts w:cs="Times New Roman" w:ascii="Times New Roman" w:hAnsi="Times New Roman"/>
          <w:b w:val="false"/>
          <w:color w:themeColor="text1" w:val="000000"/>
          <w:sz w:val="24"/>
          <w:szCs w:val="24"/>
          <w:shd w:fill="FFFFFF" w:val="clear"/>
        </w:rPr>
        <w:t>закрепить наставников</w:t>
      </w:r>
      <w:r>
        <w:rPr>
          <w:rFonts w:cs="Times New Roman" w:ascii="Times New Roman" w:hAnsi="Times New Roman"/>
          <w:color w:themeColor="text1" w:val="000000"/>
          <w:sz w:val="24"/>
          <w:szCs w:val="24"/>
          <w:shd w:fill="FFFFFF" w:val="clear"/>
        </w:rPr>
        <w:t> из числа педагогов, успешно прошедших аттестацию в 2024–2025 (когда отказов было меньше всего), для передачи опыта.</w:t>
      </w:r>
    </w:p>
    <w:p>
      <w:pPr>
        <w:pStyle w:val="normal11"/>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rPr>
      </w:r>
    </w:p>
    <w:p>
      <w:pPr>
        <w:pStyle w:val="normal11"/>
        <w:spacing w:lineRule="auto" w:line="240" w:before="0" w:after="0"/>
        <w:jc w:val="center"/>
        <w:rPr>
          <w:rFonts w:ascii="Times New Roman" w:hAnsi="Times New Roman"/>
          <w:color w:themeColor="text1" w:val="000000"/>
          <w:sz w:val="24"/>
        </w:rPr>
      </w:pPr>
      <w:r>
        <w:rPr>
          <w:rFonts w:ascii="Times New Roman" w:hAnsi="Times New Roman"/>
          <w:b/>
          <w:color w:themeColor="text1" w:val="000000"/>
          <w:sz w:val="24"/>
          <w:highlight w:val="white"/>
        </w:rPr>
        <w:t>Участие в профессиональных конкурсах и олимпиадах</w:t>
      </w:r>
    </w:p>
    <w:p>
      <w:pPr>
        <w:pStyle w:val="normal11"/>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За отчётный период общее число участий педагогических работников в конкурсных мероприятиях всех уровней достигло 2 277, что на 8,9 % превышает показатель предыдущего учебного года (1 392). Наиболее существенный прирост зафиксирован на региональном уровне — с 753 до 1 335 участий (+77,3 %), а также на всероссийском — с 217 до 447 (+106 %), тогда как муниципальный уровень вырос с 422 до 495 (+17,3 %). Динамика представлена в таблице 1.</w:t>
      </w:r>
    </w:p>
    <w:p>
      <w:pPr>
        <w:pStyle w:val="normal11"/>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rPr>
      </w:r>
    </w:p>
    <w:p>
      <w:pPr>
        <w:pStyle w:val="Normal"/>
        <w:widowControl w:val="false"/>
        <w:spacing w:lineRule="auto" w:line="240" w:before="0" w:after="0"/>
        <w:ind w:firstLine="700"/>
        <w:jc w:val="both"/>
        <w:rPr>
          <w:rFonts w:ascii="Times New Roman" w:hAnsi="Times New Roman"/>
          <w:i/>
          <w:i/>
          <w:iCs/>
          <w:color w:themeColor="text1" w:val="000000"/>
          <w:sz w:val="24"/>
        </w:rPr>
      </w:pPr>
      <w:r>
        <w:rPr>
          <w:rFonts w:ascii="Times New Roman" w:hAnsi="Times New Roman"/>
          <w:i/>
          <w:iCs/>
          <w:color w:themeColor="text1" w:val="000000"/>
          <w:sz w:val="24"/>
        </w:rPr>
        <w:t>Таблица 1. Динамика участия педагогов в конкурсах и олимпиадах профессионального мастерства по уровням.</w:t>
      </w:r>
    </w:p>
    <w:tbl>
      <w:tblPr>
        <w:tblW w:w="9635" w:type="dxa"/>
        <w:jc w:val="left"/>
        <w:tblInd w:w="0" w:type="dxa"/>
        <w:tblLayout w:type="fixed"/>
        <w:tblCellMar>
          <w:top w:w="55" w:type="dxa"/>
          <w:left w:w="55" w:type="dxa"/>
          <w:bottom w:w="150" w:type="dxa"/>
          <w:right w:w="55" w:type="dxa"/>
        </w:tblCellMar>
        <w:tblLook w:val="0000" w:noHBand="0" w:noVBand="0" w:firstColumn="0" w:lastRow="0" w:lastColumn="0" w:firstRow="0"/>
      </w:tblPr>
      <w:tblGrid>
        <w:gridCol w:w="2208"/>
        <w:gridCol w:w="2474"/>
        <w:gridCol w:w="2476"/>
        <w:gridCol w:w="2476"/>
      </w:tblGrid>
      <w:tr>
        <w:trPr>
          <w:tblHeader w:val="true"/>
        </w:trPr>
        <w:tc>
          <w:tcPr>
            <w:tcW w:w="2208"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Уровень</w:t>
            </w:r>
          </w:p>
        </w:tc>
        <w:tc>
          <w:tcPr>
            <w:tcW w:w="2474"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2024–2025 (чел.)</w:t>
            </w:r>
          </w:p>
        </w:tc>
        <w:tc>
          <w:tcPr>
            <w:tcW w:w="2476"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2025–2026 (чел.)</w:t>
            </w:r>
          </w:p>
        </w:tc>
        <w:tc>
          <w:tcPr>
            <w:tcW w:w="2476" w:type="dxa"/>
            <w:tcBorders>
              <w:top w:val="single" w:sz="2" w:space="0" w:color="000000"/>
              <w:left w:val="single" w:sz="2" w:space="0" w:color="000000"/>
              <w:bottom w:val="single" w:sz="2" w:space="0" w:color="000000"/>
              <w:right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Прирост</w:t>
            </w:r>
          </w:p>
        </w:tc>
      </w:tr>
      <w:tr>
        <w:trPr/>
        <w:tc>
          <w:tcPr>
            <w:tcW w:w="220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Муниципальный</w:t>
            </w:r>
          </w:p>
        </w:tc>
        <w:tc>
          <w:tcPr>
            <w:tcW w:w="2474"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422</w:t>
            </w:r>
          </w:p>
        </w:tc>
        <w:tc>
          <w:tcPr>
            <w:tcW w:w="2476"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495</w:t>
            </w:r>
          </w:p>
        </w:tc>
        <w:tc>
          <w:tcPr>
            <w:tcW w:w="2476"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+17,3 %</w:t>
            </w:r>
          </w:p>
        </w:tc>
      </w:tr>
      <w:tr>
        <w:trPr/>
        <w:tc>
          <w:tcPr>
            <w:tcW w:w="220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Региональный</w:t>
            </w:r>
          </w:p>
        </w:tc>
        <w:tc>
          <w:tcPr>
            <w:tcW w:w="2474"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753</w:t>
            </w:r>
          </w:p>
        </w:tc>
        <w:tc>
          <w:tcPr>
            <w:tcW w:w="2476"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1335</w:t>
            </w:r>
          </w:p>
        </w:tc>
        <w:tc>
          <w:tcPr>
            <w:tcW w:w="2476"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+77,3 %</w:t>
            </w:r>
          </w:p>
        </w:tc>
      </w:tr>
      <w:tr>
        <w:trPr/>
        <w:tc>
          <w:tcPr>
            <w:tcW w:w="220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Всероссийский</w:t>
            </w:r>
          </w:p>
        </w:tc>
        <w:tc>
          <w:tcPr>
            <w:tcW w:w="2474"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217</w:t>
            </w:r>
          </w:p>
        </w:tc>
        <w:tc>
          <w:tcPr>
            <w:tcW w:w="2476"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447</w:t>
            </w:r>
          </w:p>
        </w:tc>
        <w:tc>
          <w:tcPr>
            <w:tcW w:w="2476"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+106 %</w:t>
            </w:r>
          </w:p>
        </w:tc>
      </w:tr>
      <w:tr>
        <w:trPr/>
        <w:tc>
          <w:tcPr>
            <w:tcW w:w="2208"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Всего</w:t>
            </w:r>
          </w:p>
        </w:tc>
        <w:tc>
          <w:tcPr>
            <w:tcW w:w="2474"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1392</w:t>
            </w:r>
          </w:p>
        </w:tc>
        <w:tc>
          <w:tcPr>
            <w:tcW w:w="2476"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2277</w:t>
            </w:r>
          </w:p>
        </w:tc>
        <w:tc>
          <w:tcPr>
            <w:tcW w:w="2476" w:type="dxa"/>
            <w:tcBorders>
              <w:left w:val="single" w:sz="2" w:space="0" w:color="000000"/>
              <w:bottom w:val="single" w:sz="2" w:space="0" w:color="000000"/>
              <w:right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+63,6 %</w:t>
            </w:r>
          </w:p>
        </w:tc>
      </w:tr>
    </w:tbl>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отчётном периоде на муниципальном уровне проведены следующие мероприятия: муниципальный этап Всероссийского конкурса «Учитель года России» – «Золотое яблоко – 2025», открытый муниципальный конкурс методических материалов «Цифровой педагог: технологии будущего», метапредметная олимпиада, межмуниципальные соревнования «Большие цифровые игры», профессиональный конкурс молодых педагогов «Зеленое яблоко».</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Общее количество участников муниципальных мероприятий составило 495 человек (в 2024–2025 учебном году – 422, прирост +17,3 %). Из них призёрами и победителями стали 70 человек (14,1 %).</w:t>
      </w:r>
    </w:p>
    <w:p>
      <w:pPr>
        <w:pStyle w:val="Heading3"/>
        <w:widowControl w:val="false"/>
        <w:spacing w:lineRule="auto" w:line="240" w:before="0" w:after="0"/>
        <w:ind w:firstLine="700"/>
        <w:jc w:val="center"/>
        <w:rPr>
          <w:rFonts w:ascii="Times New Roman" w:hAnsi="Times New Roman"/>
          <w:b w:val="false"/>
          <w:i/>
          <w:i/>
          <w:iCs/>
          <w:color w:themeColor="text1" w:val="000000"/>
          <w:sz w:val="24"/>
          <w:szCs w:val="24"/>
        </w:rPr>
      </w:pPr>
      <w:r>
        <w:rPr>
          <w:rFonts w:ascii="Times New Roman" w:hAnsi="Times New Roman"/>
          <w:b w:val="false"/>
          <w:i/>
          <w:iCs/>
          <w:color w:themeColor="text1" w:val="000000"/>
          <w:sz w:val="24"/>
          <w:szCs w:val="24"/>
        </w:rPr>
        <w:t>Итоговое распределение призовых мест по образовательным организациям (муниципальный уровень)</w:t>
      </w:r>
    </w:p>
    <w:tbl>
      <w:tblPr>
        <w:tblW w:w="9616" w:type="dxa"/>
        <w:jc w:val="left"/>
        <w:tblInd w:w="0" w:type="dxa"/>
        <w:tblLayout w:type="fixed"/>
        <w:tblCellMar>
          <w:top w:w="55" w:type="dxa"/>
          <w:left w:w="55" w:type="dxa"/>
          <w:bottom w:w="150" w:type="dxa"/>
          <w:right w:w="55" w:type="dxa"/>
        </w:tblCellMar>
        <w:tblLook w:val="0000" w:noHBand="0" w:noVBand="0" w:firstColumn="0" w:lastRow="0" w:lastColumn="0" w:firstRow="0"/>
      </w:tblPr>
      <w:tblGrid>
        <w:gridCol w:w="5498"/>
        <w:gridCol w:w="1640"/>
        <w:gridCol w:w="1470"/>
        <w:gridCol w:w="1007"/>
      </w:tblGrid>
      <w:tr>
        <w:trPr>
          <w:tblHeader w:val="true"/>
        </w:trPr>
        <w:tc>
          <w:tcPr>
            <w:tcW w:w="5498"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Образовательная организация</w:t>
            </w:r>
          </w:p>
        </w:tc>
        <w:tc>
          <w:tcPr>
            <w:tcW w:w="1640"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Общее число участников</w:t>
            </w:r>
          </w:p>
        </w:tc>
        <w:tc>
          <w:tcPr>
            <w:tcW w:w="1470"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Призёры и победители</w:t>
            </w:r>
          </w:p>
        </w:tc>
        <w:tc>
          <w:tcPr>
            <w:tcW w:w="1007" w:type="dxa"/>
            <w:tcBorders>
              <w:top w:val="single" w:sz="2" w:space="0" w:color="000000"/>
              <w:left w:val="single" w:sz="2" w:space="0" w:color="000000"/>
              <w:bottom w:val="single" w:sz="2" w:space="0" w:color="000000"/>
              <w:right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Доля (%)</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«Платошинская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42,8</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«Бабкинская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11</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36,4</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«Бершетская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20</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«Конзаводская средняя школа имени В.К. Блюхера»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10</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«Култаевский детский сад «Колокольчик»</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18</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27,7</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«Фроловская средняя школа «Навигатор»</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55</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25,4</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«Савинская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30</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«Кондратовская средняя школа «Патриот»</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19</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15,6</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«Нижнемуллинская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14,3</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«Гамовская средняя школа «Алгоритм»</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24</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12,5</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«Усть-Качкинская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19</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10,5</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«Култаевская средняя школа «Интеграция»</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30</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«Юго-Камская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11</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9,1</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«Кондратовский детский сад «Акварельки»</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9</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22,2</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«Сылвенский детский сад «Рябинка»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ДО «ДЮЦ «Импульс»</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«Гамовский детский сад «Мозаика»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18</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5,5</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«Кондратовский детский сад «Ладошки»</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15</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6,6</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«Двуреченский детский сад «Семицветик»</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33,3</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«Юговская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33,3</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«Лобановская средняя школа «Вектор успеха»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18</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«Мулянская средняя школа»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16</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«Култаевский детский сад «Егоза»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20</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«Платошинский детский сад «Солнышко»</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22</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«Савинский детский сад «Мечтатели»</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«Юго-Камский детский сад «Планета детства»</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0,0</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«Кондратовский детский сад «Мыслители»</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w:t>
            </w:r>
          </w:p>
        </w:tc>
      </w:tr>
      <w:tr>
        <w:trPr/>
        <w:tc>
          <w:tcPr>
            <w:tcW w:w="549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МАУ ДО «Спортивная школа «Вихрь»</w:t>
            </w:r>
          </w:p>
        </w:tc>
        <w:tc>
          <w:tcPr>
            <w:tcW w:w="164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470"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w:t>
            </w:r>
          </w:p>
        </w:tc>
        <w:tc>
          <w:tcPr>
            <w:tcW w:w="1007"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w:t>
            </w:r>
          </w:p>
        </w:tc>
      </w:tr>
    </w:tbl>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 xml:space="preserve">На муниципальном уровне при 495 участниках доля призёров и победителей составила 14,1 % (70 человек). Наиболее высокий процент призовых мест среди школ  продемонстрировали МАОУ «Платошинская средняя школа» (42,8 %), МАОУ «Бабкинская средняя школа» (36,4 %), МАОУ «Бершетская средняя школа» и МАОУ «Конзаводская средняя школа» (по 30 %). В то же время ряд учреждений при значительном числе участников не получили ни одного призового места: МАОУ «Лобановская средняя школа» (18 участников), МАОУ «Мулянская средняя школа» (16 участников), а также дошкольные организации - МАДОУ «Култаевский детский сад «Егоза» (20 участников), МАДОУ «Платошинский детский сад «Солнышко» (22 участника) и другие. </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Анализ активности образовательных организаций по доле вовлечённых педагогов (с учётом многократного участия одного специалиста) позволяет выделить группу устойчивых лидеров, которые не только обеспечивают высокий охват, но и демонстрируют стабильные результаты. К ним относятся МАОУ «Савинская средняя школа» (166,4 %), МАОУ «Фроловская средняя школа» (159,5 %), МАДОУ «Култаевский детский сад «Колокольчик» (147,2 %), МАДОУ «Платошинский детский сад «Солнышко» (138,1 %), МАОУ «Кондратовская средняя школа «Сфера» (113,8 %) и МАОУ «Бершетская средняя школа» (111,7 %). При этом наблюдается резкое снижение вовлечённости в ряде учреждений: МАОУ «Юговская средняя школа» потеряла более 60 процентных пунктов (с 85,9 % до 20,2 %), а МАУ ДО «СШ «Вихрь» не зафиксировала ни одного участника. Столь значительная дифференциация требует адресного анализа причин - кадровых, организационных или мотивационных - и выработки индивидуальных мер поддержки для каждой проблемной организации. Данные по лидерам и аутсайдерам вовлечённости представлены в таблице 2.</w:t>
      </w:r>
    </w:p>
    <w:p>
      <w:pPr>
        <w:pStyle w:val="Normal"/>
        <w:widowControl w:val="false"/>
        <w:spacing w:lineRule="auto" w:line="240" w:before="0" w:after="0"/>
        <w:ind w:firstLine="700"/>
        <w:jc w:val="both"/>
        <w:rPr>
          <w:rFonts w:ascii="Times New Roman" w:hAnsi="Times New Roman"/>
          <w:i/>
          <w:i/>
          <w:iCs/>
          <w:color w:themeColor="text1" w:val="000000"/>
          <w:sz w:val="24"/>
          <w:szCs w:val="24"/>
        </w:rPr>
      </w:pPr>
      <w:r>
        <w:rPr>
          <w:rFonts w:ascii="Times New Roman" w:hAnsi="Times New Roman"/>
          <w:i/>
          <w:iCs/>
          <w:color w:themeColor="text1" w:val="000000"/>
          <w:sz w:val="24"/>
          <w:szCs w:val="24"/>
        </w:rPr>
      </w:r>
    </w:p>
    <w:p>
      <w:pPr>
        <w:pStyle w:val="Normal"/>
        <w:widowControl w:val="false"/>
        <w:spacing w:lineRule="auto" w:line="240" w:before="0" w:after="0"/>
        <w:ind w:firstLine="700"/>
        <w:jc w:val="both"/>
        <w:rPr>
          <w:rFonts w:ascii="Times New Roman" w:hAnsi="Times New Roman"/>
          <w:i/>
          <w:i/>
          <w:iCs/>
          <w:color w:themeColor="text1" w:val="000000"/>
          <w:sz w:val="24"/>
          <w:szCs w:val="24"/>
        </w:rPr>
      </w:pPr>
      <w:r>
        <w:rPr>
          <w:rFonts w:ascii="Times New Roman" w:hAnsi="Times New Roman"/>
          <w:i/>
          <w:iCs/>
          <w:color w:themeColor="text1" w:val="000000"/>
          <w:sz w:val="24"/>
          <w:szCs w:val="24"/>
        </w:rPr>
        <w:t>Таблица 2. Доля вовлечённых педагогов (в % от общей численности работников) по всем образовательным организациям.</w:t>
      </w:r>
    </w:p>
    <w:tbl>
      <w:tblPr>
        <w:tblW w:w="9616" w:type="dxa"/>
        <w:jc w:val="left"/>
        <w:tblInd w:w="0" w:type="dxa"/>
        <w:tblLayout w:type="fixed"/>
        <w:tblCellMar>
          <w:top w:w="55" w:type="dxa"/>
          <w:left w:w="55" w:type="dxa"/>
          <w:bottom w:w="150" w:type="dxa"/>
          <w:right w:w="55" w:type="dxa"/>
        </w:tblCellMar>
        <w:tblLook w:val="0000" w:noHBand="0" w:noVBand="0" w:firstColumn="0" w:lastRow="0" w:lastColumn="0" w:firstRow="0"/>
      </w:tblPr>
      <w:tblGrid>
        <w:gridCol w:w="657"/>
        <w:gridCol w:w="5547"/>
        <w:gridCol w:w="3412"/>
      </w:tblGrid>
      <w:tr>
        <w:trPr>
          <w:tblHeader w:val="true"/>
        </w:trPr>
        <w:tc>
          <w:tcPr>
            <w:tcW w:w="657"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 xml:space="preserve">№ </w:t>
            </w:r>
            <w:r>
              <w:rPr>
                <w:rFonts w:ascii="Times New Roman" w:hAnsi="Times New Roman"/>
                <w:color w:themeColor="text1" w:val="000000"/>
                <w:sz w:val="24"/>
                <w:szCs w:val="24"/>
              </w:rPr>
              <w:t>п/п</w:t>
            </w:r>
          </w:p>
        </w:tc>
        <w:tc>
          <w:tcPr>
            <w:tcW w:w="5547"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Образовательная организация</w:t>
            </w:r>
          </w:p>
        </w:tc>
        <w:tc>
          <w:tcPr>
            <w:tcW w:w="3412" w:type="dxa"/>
            <w:tcBorders>
              <w:top w:val="single" w:sz="2" w:space="0" w:color="000000"/>
              <w:left w:val="single" w:sz="2" w:space="0" w:color="000000"/>
              <w:bottom w:val="single" w:sz="2" w:space="0" w:color="000000"/>
              <w:right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Доля участников 2025–2026 (%)</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«Савинская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166,4</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«Фроловская средняя школа «Навигатор»</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159,5</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«Култаевский детский сад «Колокольчик»</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147,2</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«Платошинский детский сад «Солнышко»</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138,1</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«Кондратовская средняя школа «Сфера»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113,8</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«Бершетская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111,7</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«Култаевская средняя школа «Интеграция»</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102,5</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8</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«Гамовская средняя школа «Алгоритм»</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94,9</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9</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«Гамовский детский сад «Мозаика»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90,5</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10</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«Сылвенский детский сад «Рябинка»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83,3</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11</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«Юго-Камская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79,4</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12</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«Сылвенская средняя школа имени В. Каменского»</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74,5</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13</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«Нижнемуллинская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74,3</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«Мулянская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70,8</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15</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«Платошинская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68,6</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16</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«Лобановская средняя школа «Вектор успеха»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64,0</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17</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«Култаевский детский сад «Егоза»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64,0</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18</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«Лобановский детский сад «Солнечный город»</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63,4</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19</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«Юго-Камский детский сад «Планета детства»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57,9</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20</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«Усть-Качкинская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43,1</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21</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«Кондратовский детский сад «Ладошки»</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34,6</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22</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«Бабкинская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27,5</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23</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«Кондратовская средняя школа «Патриот»</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26,5</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24</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«Кондратовский детский сад «Акварельки»</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23,5</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25</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«Юговская средняя школа»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20,2</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26</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«Конзаводская средняя школа имени В.К. Блюхера»</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19,1</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27</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«Савинский детский сад «Мечтатели»</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19,1</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28</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МАОУ ДО «ДЮЦ «Импульс»</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11,4</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29</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МАДОУ «Двуреченский детский сад «Семицветик»</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10,7</w:t>
            </w:r>
          </w:p>
        </w:tc>
      </w:tr>
      <w:tr>
        <w:trPr/>
        <w:tc>
          <w:tcPr>
            <w:tcW w:w="65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30</w:t>
            </w:r>
          </w:p>
        </w:tc>
        <w:tc>
          <w:tcPr>
            <w:tcW w:w="55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МАУ ДО «Спортивная школа «Вихрь»</w:t>
            </w:r>
          </w:p>
        </w:tc>
        <w:tc>
          <w:tcPr>
            <w:tcW w:w="3412"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0,0</w:t>
            </w:r>
          </w:p>
        </w:tc>
      </w:tr>
    </w:tbl>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 xml:space="preserve">Среди позитивных изменений также следует отметить расширение спектра конкурсных номинаций и появление командных форматов, таких как «Большие цифровые игры» и номинация «Командные инициативы», что способствует развитию горизонтальных связей и коллективного творчества. Значительно активизировались педагоги дошкольных образовательных организаций, которые теперь участвуют в конкурсах наравне со школами, что свидетельствует о росте профессиональной активности воспитателей. </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Общее количество педагогических работников, принявших участие в конкурсах и олимпиадах профессионального мастерства на региональном уровне, составило 1335 человек. В рамках региональных этапов всероссийских конкурсов и краевых олимпиад зафиксированы следующие результаты.</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региональном этапе XII Всероссийского конкурса «Лучшая инклюзивная школа России – 2025» приняли участие команды двух образовательных организаций: МАОУ «Юго-Камская средняя школа» (призеры и победители) и МАДОУ «Култаевский детский сад «Колокольчик» (призеры).</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краевом этапе XVI Всероссийского конкурса «Учитель здоровья России – 2025» из 14 участников отмечены: Безматерных Людмила Владимировна (МАОУ «Кондратовская средняя школа «Сфера») – призер, Тетерина Татьяна Михайловна (МАОУ «Култаевская средняя школа «Интеграция») – лауреат.</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XVIII международной олимпиаде учителей-предметников «ПРОФИ – 2025» (краевой уровень) из 355 участников: 2 призера от МАОУ «Бершетская средняя школа», 2 призера от МАОУ «Култаевская средняя школа «Интеграция», 3 призера от МАОУ «Нижнемуллинская средняя школа», 2 призера от МАОУ «Савинская средняя школа», 2 призера от МАОУ «Усть-Качкинская средняя школа», 1 призер от МАОУ «Юго-Камская средняя школа»; победитель – 1 педагог от МАОУ «Савинская средняя школа.</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VIII краевой олимпиаде педагогов, работающих с детьми с ОВЗ и детьми-инвалидами из 622 участников: 2 победителя от МАОУ «Култаевская средняя школа «Интеграция», 1 победитель и 1 призер от МАОУ «Бершетская средняя школа», 1 призер от МАОУ «Нижнемуллинская средняя школа», 2 призера от МАДОУ «Култаевский детский сад «Егоза».</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XII краевом конкурсе профессионального мастерства педагогов, реализующих программы духовно-нравственной направленности «Со-бытие» из 57 участников: 1 призер от МАОУ «Юго-Камская средняя школа», 2 призера от МАДОУ «Култаевский детский сад «Колокольчик», 1 финалист от МАОУ «Сылвенская средняя школа имени В. Каменского».</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краевой метапредметной олимпиаде из 5 участников: 2 победителя и 3 призера от МАОУ «Бершетская средняя школа» (включая командные результаты), 1 победитель от МАОУ «Фроловская средняя школа «Навигатор» (в команде).</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фестивале педагогического мастерства и творчества ДОУ Пермского края «Образовательный горизонт» из 190 участников: победители – МАДОУ «Гамовский детский сад «Мозаика», МАДОУ «Култаевский детский сад «Колокольчик», МАОУ «Фроловская средняя школа «Навигатор»; призеры – МАДОУ «Платошинский детский сад «Солнышко» (9 чел.), МАОУ «Фроловская средняя школа «Навигатор» (8 чел.), МАОУ «Мулянская средняя школа» (1 чел.).</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региональном этапе XIII Всероссийского конкурса «Воспитатели России» из 20 участников: 2 победителя и 6 призеров от МАОУ «Фроловская средняя школа «Навигатор», 2 призера от МАДОУ «Платошинский детский сад «Солнышко».</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региональном этапе Всероссийского конкурса «Учитель года России» в 2026 году из 13 участников: победитель – Тараканова Венера Рафаэлевна (МАОУ «Фроловская средняя школа «Навигатор»); призеры – Шишкина Мария Владимировна (МАДОУ «Култаевский детский сад «Колокольчик»), Казанцев Дмитрий Вадимович (МАОУ «Платошинская средняя школа»), Букирева Екатерина Николаевна (МАОУ «Фроловская средняя школа «Навигатор»); финалисты – Мачехина Светлана Владимировна (МАОУ «Фроловская средняя школа «Навигатор»), Горбань Ксения Сергеевна (МАОУ «Гамовская средняя школа «Алгоритм»), Рубцов Денис Валерьевич (МАОУ «Кондратовская средняя школа «Патриот»).</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региональном конкурсе «Советник года» из 2 участников: призер – Сухоносова Наталья Валентиновна (МАОУ «Бершетская средняя школа»).</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конкурсе на присуждение премий среди учителей общеобразовательных организаций Пермского края в 2026 году из 8 участников: победители – Зуева Светлана Владимировна (МАОУ «Бабкинская средняя школа»), Голева Анастасия Евгеньевна (МАОУ «Бершетская средняя школа»), Онянова Лариса Александровна (МАОУ «Гамовская средняя школа «Алгоритм»), Колегова Мария Сергеевна (МАОУ «Савинская средняя школа»), Маслаускене Оксана Юрьевна (МАОУ «Усть-Качкинская средняя школа»).</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региональном этапе IX Всероссийского конкурса «Учитель-дефектолог России – 2026» из 4 участников: 1 призер от МАДОУ «Култаевский детский сад «Колокольчик».</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краевом конкурсе «Лучший учитель по учебному предмету «Основы безопасности и защиты Родины» из 4 участников: призер – Пьянков Сергей Семенович (МАОУ «Фроловская средняя школа «Навигатор»).</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 xml:space="preserve">За отчётный период на региональном уровне зафиксирован значительный количественный рост: число участников увеличилось с 753 до 1 335 человек (+77,3 %). </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Лидерами по числу призовых мест на региональном уровне стали МАОУ «Фроловская средняя школа «Навигатор», МАОУ «Савинская средняя школа», МАОУ «Бершетская средняя школа» и МАДОУ «Култаевский детский сад «Колокольчик». Эти организации демонстрируют устойчивые результаты в различных конкурсных направлениях: от «Учителя года» до отраслевых олимпиад и конкурсов профессионального мастерства. Активность дошкольных образовательных организаций на региональном уровне значительно возросла: МАДОУ «Култаевский детский сад «Колокольчик» и МАДОУ «Платошинский детский сад «Солнышко» стабильно входят в число призёров («Воспитатели России», «Образовательный горизонт», конкурс «Со-бытие»), что свидетельствует о повышении профессионального мастерства воспитателей и их готовности к конкурсной деятельности наравне с педагогами школ.</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Вместе с тем выявлена проблема неравномерного представительства предметных областей: в олимпиадах учителей физики, начальных классов, немецкого языка и ряде других округ представлен единичными участниками. Это указывает на необходимость активизации работы по вовлечению педагогов указанных специальностей в конкурсное движение и усиления методической поддержки на муниципальном уровне.</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Общее количество педагогических работников, принявших участие в конкурсах на всероссийском уровне, составило 447 человек.</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XVIII международной олимпиаде учителей-предметников «ПРОФИ – 2025» (всероссийский уровень) из 11 участников: победитель – Цыгвинцева О.М. (МАОУ «Лобановская средняя школа «Вектор успеха»); призеры – Колегова М.С. и Ефимов П.В. (МАОУ «Савинская средняя школа»), а также победитель Скворцова Т.Д. (МАОУ «Савинская средняя школа»).</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всероссийском конкурсе (проекте) «Флагманы образования» из 74 участников: 2 победителя от МАОУ «Савинская средняя школа».</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Всероссийском конкурсе им. Л.С. Выготского из 213 участников: призеры – МАОУ «Култаевская средняя школа «Интеграция» (1 чел.), МАДОУ «Двуреченский детский сад «Солнышко» (1 чел.), МАДОУ «Кондратовский детский сад «Акварельки» (7 чел. + 1 команда), МАДОУ «Платошинский детский сад «Солнышко» (7 чел.); победители – МАОУ «Фроловская средняя школа «Навигатор» (2 чел.).</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В XIII Всероссийском конкурсе «Воспитатели России» из 11 участников: победитель и 2 призера от МАДОУ «Гамовский детский сад «Мозаика».</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За отчётный период число участников всероссийских конкурсов возросло более чем вдвое – с 217 до 447 человек (+106 %). Этот факт свидетельствует о росте профессиональных амбиций педагогов и их готовности заявлять о себе на федеральном уровне, а также о положительной работе методической службы по информированию и мотивации педагогических кадров.</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color w:themeColor="text1" w:val="000000"/>
          <w:sz w:val="24"/>
          <w:szCs w:val="24"/>
        </w:rPr>
        <w:t>Наибольшая концентрация побед зафиксирована в МАОУ «Фроловская средняя школа «Навигатор» (победы в «Учителе года», «Воспитателях России», конкурсе им. Л.С. Выготского, призовые места в «Образовательном горизонте») и МАОУ «Савинская средняя школа» (победы в «ПРОФИ», «Флагманах образования», конкурсе на присуждение премий). Указанные учреждения демонстрируют системную работу по подготовке конкурсантов, что позволяет им достигать высоких результатов на федеральном уровне. Вместе с тем при значительном росте числа участников количество призовых мест остаётся относительно невысоким, что говорит о необходимости усиления адресной подготовки к конкурсам всероссийского уровня, включая разбор критериев оценивания, отработку навыков публичной презентации и оформления портфолио.</w:t>
      </w:r>
    </w:p>
    <w:p>
      <w:pPr>
        <w:pStyle w:val="Normal"/>
        <w:widowControl w:val="false"/>
        <w:spacing w:lineRule="auto" w:line="240" w:before="0" w:after="0"/>
        <w:ind w:firstLine="700"/>
        <w:jc w:val="both"/>
        <w:rPr>
          <w:rFonts w:ascii="Times New Roman" w:hAnsi="Times New Roman"/>
          <w:color w:themeColor="text1" w:val="000000"/>
          <w:sz w:val="24"/>
          <w:szCs w:val="24"/>
        </w:rPr>
      </w:pPr>
      <w:r>
        <w:rPr>
          <w:rFonts w:ascii="Times New Roman" w:hAnsi="Times New Roman"/>
          <w:b/>
          <w:color w:themeColor="text1" w:val="000000"/>
          <w:sz w:val="24"/>
          <w:szCs w:val="24"/>
        </w:rPr>
        <w:t>Вывод по разделу:</w:t>
      </w:r>
      <w:r>
        <w:rPr>
          <w:rFonts w:ascii="Times New Roman" w:hAnsi="Times New Roman"/>
          <w:color w:themeColor="text1" w:val="000000"/>
          <w:sz w:val="24"/>
          <w:szCs w:val="24"/>
        </w:rPr>
        <w:t xml:space="preserve"> конкурсное движение в отчётном периоде продемонстрировало устойчивый количественный рост на всех уровнях, особенно на региональном и всероссийском. Лидеры конкурсной активности определены, их опыт требует системного изучения и распространения. Выявлены учреждения с нулевой результативностью, что требует адресной работы. Неравномерное представительство предметных областей на региональном уровне также является зоной для развития.</w:t>
      </w:r>
    </w:p>
    <w:p>
      <w:pPr>
        <w:pStyle w:val="Normal"/>
        <w:widowControl w:val="false"/>
        <w:spacing w:lineRule="auto" w:line="240" w:before="0" w:after="0"/>
        <w:ind w:firstLine="700"/>
        <w:jc w:val="both"/>
        <w:rPr>
          <w:rFonts w:ascii="Times New Roman" w:hAnsi="Times New Roman"/>
          <w:bCs/>
          <w:color w:themeColor="text1" w:val="000000"/>
          <w:sz w:val="24"/>
          <w:szCs w:val="24"/>
        </w:rPr>
      </w:pPr>
      <w:r>
        <w:rPr>
          <w:rFonts w:ascii="Times New Roman" w:hAnsi="Times New Roman"/>
          <w:b/>
          <w:bCs/>
          <w:color w:themeColor="text1" w:val="000000"/>
          <w:sz w:val="24"/>
          <w:szCs w:val="24"/>
        </w:rPr>
        <w:t xml:space="preserve">Рекомендации: </w:t>
      </w:r>
      <w:r>
        <w:rPr>
          <w:rFonts w:ascii="Times New Roman" w:hAnsi="Times New Roman"/>
          <w:bCs/>
          <w:color w:themeColor="text1" w:val="000000"/>
          <w:sz w:val="24"/>
          <w:szCs w:val="24"/>
        </w:rPr>
        <w:t>административным командам образовательных организаций при подготовке участников к мероприятиям и конкурсам муниципального уровня осуществлять качественную подготовку и грамотно выстраивать систему методического сопровождения конкурсанта внутри образовательной организации; акцентировать внимание не на количественном показателе, а на уровне подготовки отдельных конкурсантов; проводить отбор сильнейших участников на институциональном уровне внутри образовательной организации; привлекать к участию на институциональном уровне педагогических работников из структурных подразделений; активизировать работу по подготовке конкурсантов внутри тех образовательных организаций, в которых отмечается снижение доли участников на всех уровнях в сравнении с 2024–2025 учебным годом, а также которые не приняли участие в конкурсах и олимпиадах профессионального мастерства в 2025–2026 учебном году.</w:t>
      </w:r>
    </w:p>
    <w:p>
      <w:pPr>
        <w:pStyle w:val="Normal"/>
        <w:widowControl w:val="false"/>
        <w:spacing w:lineRule="auto" w:line="240" w:before="0" w:after="0"/>
        <w:ind w:firstLine="700"/>
        <w:jc w:val="both"/>
        <w:rPr>
          <w:rFonts w:ascii="Times New Roman" w:hAnsi="Times New Roman"/>
          <w:i/>
          <w:i/>
          <w:iCs/>
          <w:color w:themeColor="text1" w:val="000000"/>
          <w:sz w:val="24"/>
          <w:szCs w:val="24"/>
        </w:rPr>
      </w:pPr>
      <w:r>
        <w:rPr>
          <w:rFonts w:ascii="Times New Roman" w:hAnsi="Times New Roman"/>
          <w:i/>
          <w:iCs/>
          <w:color w:themeColor="text1" w:val="000000"/>
          <w:sz w:val="24"/>
          <w:szCs w:val="24"/>
        </w:rPr>
      </w:r>
    </w:p>
    <w:p>
      <w:pPr>
        <w:pStyle w:val="Normal"/>
        <w:widowControl w:val="false"/>
        <w:spacing w:lineRule="auto" w:line="240" w:before="0" w:after="0"/>
        <w:jc w:val="center"/>
        <w:rPr>
          <w:rFonts w:ascii="Times New Roman" w:hAnsi="Times New Roman"/>
          <w:color w:themeColor="text1" w:val="000000"/>
          <w:sz w:val="24"/>
        </w:rPr>
      </w:pPr>
      <w:r>
        <w:rPr>
          <w:rFonts w:ascii="Times New Roman" w:hAnsi="Times New Roman"/>
          <w:b/>
          <w:color w:themeColor="text1" w:val="000000"/>
          <w:sz w:val="24"/>
          <w:highlight w:val="white"/>
        </w:rPr>
        <w:t>Наградная кампания</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 xml:space="preserve">Наградная кампания является важнейшим инструментом нематериального стимулирования педагогических и руководящих работников, способствующим признанию их профессиональных заслуг, повышению престижа педагогической деятельности и формированию позитивного имиджа системы образования в целом. В отчётном периоде наградная кампания строилась на основе трёхволновой системы, что позволило обеспечить планомерное рассмотрение кандидатур на все виды поощрений – от ведомственных наград Российской Федерации до муниципальных и внутриведомственных поощрений. </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В 2025–2026 учебном году общее количество награждённых педагогических и руководящих работников составило 266 человек, что на 2,6 % больше, чем в предыдущем учебном году (259 человек). При этом количество рассмотренных характеристик выросло с 203 до 263 (+29,6 %), а число подготовленных и направленных пакетов документов – с 176 до 179 (+1,7 %). Общее количество подготовленных наградных документов (благодарностей, грамот, писем и др.) достигло 305. Рост числа награждённых при увеличении числа поданных заявок свидетельствует о повышении активности образовательных организаций в выдвижении педагогов и эффективной работе наградных комиссий.</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Наиболее значимой позицией является рост числа кандидатов на ведомственные награды Российской Федерации: с 34 до 41 человека (+20,6 %), из которых 12 педагогов выдвинуты на знак «Отличник просвещения» (в прошлом году – 8). Это свидетельствует о повышении качества подготовки документов и росте числа педагогов, чей профессиональный уровень соответствует высоким федеральным критериям. Количество награждённых наградами Министерства образования и науки Пермского края сохранилось на уровне 32 человек, что говорит о стабильности работы по данному направлению.</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В то же время наблюдается сокращение числа награждённых наградами управления образования (с 78 до 71) и Губернатора/Правительства края (с 12 до 11). Это может быть связано с более строгим отбором или с недостаточной активностью образовательных организаций в выдвижении кандидатов на данные уровни. При этом число награждённых наградами администрации Пермского муниципального округа возросло с 15 до 22 (+46,7 %), что свидетельствует о повышении внимания к муниципальным поощрениям и расширении спектра поддерживаемых категорий педагогов.</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Наибольшее количество награждённых среди общеобразовательных организаций традиционно зафиксировано в МАОУ «Фроловская средняя школа «Навигатор» – 31 награда (с учётом структурного подразделения). Высокие показатели также демонстрируют МАОУ «Кондратовская средняя школа «Патриот» (19 наград), МАОУ «Култаевская средняя школа «Интеграция» (19), МАОУ «Нижнемуллинская средняя школа» (17) и МАОУ «Савинская средняя школа» (15). При этом минимальное число награждённых отмечено в МАОУ «Кондратовская средняя школа «Сфера» (4), МАОУ «Лобановская средняя школа «Вектор успеха» (4) и МАОУ «Бабкинская средняя школа» (5). Среди дошкольных учреждений лидерами являются МАДОУ «Култаевский детский сад «Колокольчик» (10) и МАДОУ «Платошинский детский сад «Солнышко» (9), в то время как МАДОУ «Двуреченский детский сад «Семицветик» и МАДОУ «Савинский детский сад «Мечтатели» имеют по 0–1 награде.</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Данные показатели свидетельствуют о значительной дифференциации между учреждениями по уровню активности в наградной кампании. В лидирующих организациях, очевидно, выстроена системная работа по выявлению и оформлению заслуг педагогов, тогда как в аутсайдерах отсутствует должное внимание к данному направлению либо кадровый состав не соответствует критериям выдвижения.</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К числу безусловных достижений следует отнести:</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 увеличение числа заявок на ведомственные награды РФ и, соответственно, числа награждённых педагогов, что свидетельствует о росте профессионализма и желания педагогов получать государственное признание;</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 расширение практики поощрения семейных династий (знак «Семейная гордость») – с 6 до 8 награждённых, что способствует укреплению корпоративной культуры и преемственности поколений;</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 активное вовлечение дошкольных учреждений в наградную кампанию, в том числе в рамках Года дошкольного образования (24 ходатайства);</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 сохранение трёхволновой системы, которая позволяет равномерно распределять нагрузку на наградную комиссию и своевременно реагировать на изменения нормативной базы (обновлены положения о благодарности, благодарственном письме и почётной грамоте администрации ПМО);</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 создание и ведение актуальной информационной базы данных наград, что повышает прозрачность процесса и упрощает работу ответственных лиц в образовательных организациях.</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Вместе с тем анализ выявляет следующие системные недостатки:</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1. Неравномерность активности учреждений. Существенный разрыв между лидерами и аутсайдерами сохраняется на протяжении нескольких лет.</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2. Недостаточное представительство педагогов дополнительного образования и  учебно-вспомогательного персонала. В основном награды получают учителя и воспитатели, тогда как специалисты ДОУ, педагоги-психологи, логопеды, педагоги дополнительного образования представлены менее широко, хотя в номинациях и приложениях они присутствуют.</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highlight w:val="white"/>
        </w:rPr>
        <w:t>3. Наличие отказов в награждении по причине преждевременного выдвижения кандидатов. Несмотря на наличие утверждённых регламентов и критериев, в образовательных организациях продолжают иметь место случаи направления документов на педагогов, чей профессиональный стаж, совокупность достижений и перечень имеющихся поощрений ещё не соответствуют требованиям конкретного вида награды. Это приводит к отрицательным решениям наградных комиссий, снижает мотивацию педагогов и создаёт дополнительную нагрузку как на наградную комиссию, так и на ответственных за подготовку документов в учреждениях.</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b/>
          <w:color w:themeColor="text1" w:val="000000"/>
          <w:sz w:val="24"/>
        </w:rPr>
        <w:t>Вывод по разделу:</w:t>
      </w:r>
      <w:r>
        <w:rPr>
          <w:rFonts w:ascii="Times New Roman" w:hAnsi="Times New Roman"/>
          <w:color w:themeColor="text1" w:val="000000"/>
          <w:sz w:val="24"/>
        </w:rPr>
        <w:t xml:space="preserve"> наградная кампания 2025–2026 учебного года продемонстрировала рост количественных показателей, укрепление нормативной базы и расширение спектра поощрений. Наиболее успешными направлениями стали ведомственные награды РФ и награды администрации округа, а также поощрение семейных династий. При этом сохраняются проблемы, связанные с преждевременным выдвижением педагогов, что приводит к отказам в награждении и снижает мотивацию кадров, неравномерностью активности учреждений и недостаточным представительством отдельных категорий педагогических работников.</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b/>
          <w:color w:themeColor="text1" w:val="000000"/>
          <w:sz w:val="24"/>
        </w:rPr>
        <w:t>Рекомендации:</w:t>
      </w:r>
      <w:r>
        <w:rPr>
          <w:rFonts w:ascii="Times New Roman" w:hAnsi="Times New Roman"/>
          <w:color w:themeColor="text1" w:val="000000"/>
          <w:sz w:val="24"/>
        </w:rPr>
        <w:t xml:space="preserve"> в части совершенствования процедуры выдвижения кандидатов, учитывая, что основной причиной отказов в награждении остаётся преждевременное выдвижение педагогов, необходимо усилить контроль на этапе первичного рассмотрения кандидатур в образовательных организациях; в части расширения категорий награждаемых педагогов, учитывая недостаточное представительство педагогов дополнительного образования, учебно-вспомогательного персонала, педагогов-психологов, учителей-логопедов, учителей-дефектологов и других специалистов, рекомендуется организовать целенаправленную работу по выявлению и поощрению указанных категорий работников; в части межведомственного взаимодействия целесообразно продолжать сотрудничество с отраслевыми профсоюзными организациями для публичного обсуждения и признания заслуг педагогов, включая проведение торжественных церемоний награждения в рамках августовской конференции и других значимых мероприятий, что способствует формированию позитивного имиджа профессии и укреплению корпоративной культуры, а также позволяет публично транслировать требования к уровню профессиональных достижений для получения наград.</w:t>
      </w:r>
    </w:p>
    <w:p>
      <w:pPr>
        <w:pStyle w:val="Normal"/>
        <w:widowControl w:val="false"/>
        <w:spacing w:lineRule="auto" w:line="240" w:before="0" w:after="0"/>
        <w:ind w:firstLine="700"/>
        <w:jc w:val="both"/>
        <w:rPr>
          <w:rFonts w:ascii="Times New Roman" w:hAnsi="Times New Roman"/>
          <w:color w:themeColor="text1" w:val="000000"/>
          <w:sz w:val="24"/>
        </w:rPr>
      </w:pPr>
      <w:r>
        <w:rPr>
          <w:rFonts w:ascii="Times New Roman" w:hAnsi="Times New Roman"/>
          <w:color w:themeColor="text1" w:val="000000"/>
          <w:sz w:val="24"/>
        </w:rPr>
      </w:r>
    </w:p>
    <w:p>
      <w:pPr>
        <w:pStyle w:val="Normal"/>
        <w:spacing w:lineRule="auto" w:line="240" w:before="0" w:after="0"/>
        <w:jc w:val="center"/>
        <w:rPr>
          <w:color w:themeColor="text1" w:val="000000"/>
        </w:rPr>
      </w:pPr>
      <w:r>
        <w:rPr>
          <w:rFonts w:ascii="Times New Roman" w:hAnsi="Times New Roman"/>
          <w:b/>
          <w:color w:themeColor="text1" w:val="000000"/>
          <w:sz w:val="24"/>
        </w:rPr>
        <w:t>Курсовая подготовка</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Курсовая подготовка является важнейшим элементом системы непрерывного профессионального образования, обеспечивающим соответствие уровня квалификации педагогических кадров современным требованиям федеральных государственных образовательных стандартов и профессиональных стандартов. В отчётном периоде работа по повышению квалификации педагогических работников строилась на основе планового подхода с учётом выявленных профессиональных дефицитов, запросов образовательных организаций и приоритетных направлений развития системы образования.</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Согласно требованиям Федерального государственного стандарта, повышение квалификации педагогов, реализующих программы Федерального государственного стандарта должно производиться не реже одного раза в три года. В отношении педагогических работников право на повышение квалификации конкретизировано Федеральным законом от 29 декабря 2012 г. № 273-ФЗ «Об образовании в Российской Федерации». Педагогические работники имеют право на дополнительное профессиональное образование по профилю педагогической деятельности не реже чем один раз в три года (пункт 2 части 5 статьи 47 Федерального закона № 273-ФЗ).</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В рамках реализации Программы развития системы образования Пермского муниципального округа с педагогами ведется целенаправленная и планомерная работа по повышению профессиональной квалификации, результаты которой находят свое отражение в мониторинге развития кадрового потенциала педагогов и руководителей образовательных учреждений Пермского муниципального округа, который проводится ежегодно. В июне 2026 года в мониторинге приняли участие 12 дошкольных образовательных учреждений, 17 школ и 2 учреждения дополнительного образования.</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В 2025–2026 учебном году курсы повышения квалификации прошли 902 педагогических работника, что составляет 43,7 % от общего числа педагогов (2062 человека). В сравнении с предыдущим учебным годом, когда было обучено 894 педагога (45,2 %), доля обученных снизилась на 1,5 процентных пункта, однако в абсолютных цифрах наблюдается рост на 8 человек, что свидетельствует о сохранении устойчивого интереса педагогов к повышению квалификации. Курсы профессиональной переподготовки прошли 43 педагога (2,08 % от общего числа), что на 11 человек больше, чем в прошлом году (32 человека), и указывает на возрастающую потребность в смене или расширении профессионального профиля, особенно по специальностям учителя математики, учителя-дефектолога и воспитателя.</w:t>
      </w:r>
    </w:p>
    <w:p>
      <w:pPr>
        <w:pStyle w:val="Normal"/>
        <w:spacing w:lineRule="auto" w:line="240" w:before="0" w:after="0"/>
        <w:ind w:firstLine="709"/>
        <w:jc w:val="center"/>
        <w:rPr>
          <w:i/>
          <w:i/>
          <w:iCs/>
          <w:color w:themeColor="text1" w:val="000000"/>
        </w:rPr>
      </w:pPr>
      <w:r>
        <w:rPr>
          <w:rFonts w:ascii="Times New Roman" w:hAnsi="Times New Roman"/>
          <w:i/>
          <w:iCs/>
          <w:color w:themeColor="text1" w:val="000000"/>
          <w:sz w:val="24"/>
        </w:rPr>
        <w:t xml:space="preserve">Таблица 1. Динамика прохождения курсов повышения квалификации педагогами </w:t>
        <w:br/>
        <w:t>за три года</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r>
    </w:p>
    <w:tbl>
      <w:tblPr>
        <w:tblW w:w="9616" w:type="dxa"/>
        <w:jc w:val="left"/>
        <w:tblInd w:w="0" w:type="dxa"/>
        <w:tblLayout w:type="fixed"/>
        <w:tblCellMar>
          <w:top w:w="55" w:type="dxa"/>
          <w:left w:w="55" w:type="dxa"/>
          <w:bottom w:w="150" w:type="dxa"/>
          <w:right w:w="55" w:type="dxa"/>
        </w:tblCellMar>
        <w:tblLook w:val="0000" w:noHBand="0" w:noVBand="0" w:firstColumn="0" w:lastRow="0" w:lastColumn="0" w:firstRow="0"/>
      </w:tblPr>
      <w:tblGrid>
        <w:gridCol w:w="4047"/>
        <w:gridCol w:w="1839"/>
        <w:gridCol w:w="1843"/>
        <w:gridCol w:w="1886"/>
      </w:tblGrid>
      <w:tr>
        <w:trPr>
          <w:tblHeader w:val="true"/>
        </w:trPr>
        <w:tc>
          <w:tcPr>
            <w:tcW w:w="4047"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Категории</w:t>
            </w:r>
          </w:p>
        </w:tc>
        <w:tc>
          <w:tcPr>
            <w:tcW w:w="1839"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2023–2024 уч. год</w:t>
            </w:r>
          </w:p>
        </w:tc>
        <w:tc>
          <w:tcPr>
            <w:tcW w:w="1843"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2024–2025 уч. год</w:t>
            </w:r>
          </w:p>
        </w:tc>
        <w:tc>
          <w:tcPr>
            <w:tcW w:w="1886" w:type="dxa"/>
            <w:tcBorders>
              <w:top w:val="single" w:sz="2" w:space="0" w:color="000000"/>
              <w:left w:val="single" w:sz="2" w:space="0" w:color="000000"/>
              <w:bottom w:val="single" w:sz="2" w:space="0" w:color="000000"/>
              <w:right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2025–2026 уч. год</w:t>
            </w:r>
          </w:p>
        </w:tc>
      </w:tr>
      <w:tr>
        <w:trPr/>
        <w:tc>
          <w:tcPr>
            <w:tcW w:w="40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Педагоги школ</w:t>
            </w:r>
          </w:p>
        </w:tc>
        <w:tc>
          <w:tcPr>
            <w:tcW w:w="1839"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474</w:t>
            </w:r>
          </w:p>
        </w:tc>
        <w:tc>
          <w:tcPr>
            <w:tcW w:w="1843"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488</w:t>
            </w:r>
          </w:p>
        </w:tc>
        <w:tc>
          <w:tcPr>
            <w:tcW w:w="1886"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565</w:t>
            </w:r>
          </w:p>
        </w:tc>
      </w:tr>
      <w:tr>
        <w:trPr/>
        <w:tc>
          <w:tcPr>
            <w:tcW w:w="40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Педагоги ДОУ</w:t>
            </w:r>
          </w:p>
        </w:tc>
        <w:tc>
          <w:tcPr>
            <w:tcW w:w="1839"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286</w:t>
            </w:r>
          </w:p>
        </w:tc>
        <w:tc>
          <w:tcPr>
            <w:tcW w:w="1843"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369</w:t>
            </w:r>
          </w:p>
        </w:tc>
        <w:tc>
          <w:tcPr>
            <w:tcW w:w="1886"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296</w:t>
            </w:r>
          </w:p>
        </w:tc>
      </w:tr>
      <w:tr>
        <w:trPr/>
        <w:tc>
          <w:tcPr>
            <w:tcW w:w="4047"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Педагоги дополнительного образования</w:t>
            </w:r>
          </w:p>
        </w:tc>
        <w:tc>
          <w:tcPr>
            <w:tcW w:w="1839"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29</w:t>
            </w:r>
          </w:p>
        </w:tc>
        <w:tc>
          <w:tcPr>
            <w:tcW w:w="1843"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32</w:t>
            </w:r>
          </w:p>
        </w:tc>
        <w:tc>
          <w:tcPr>
            <w:tcW w:w="1886"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41</w:t>
            </w:r>
          </w:p>
        </w:tc>
      </w:tr>
      <w:tr>
        <w:trPr/>
        <w:tc>
          <w:tcPr>
            <w:tcW w:w="4047"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Всего прошли КПК</w:t>
            </w:r>
          </w:p>
        </w:tc>
        <w:tc>
          <w:tcPr>
            <w:tcW w:w="1839"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789</w:t>
            </w:r>
          </w:p>
        </w:tc>
        <w:tc>
          <w:tcPr>
            <w:tcW w:w="1843"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894</w:t>
            </w:r>
          </w:p>
        </w:tc>
        <w:tc>
          <w:tcPr>
            <w:tcW w:w="1886" w:type="dxa"/>
            <w:tcBorders>
              <w:left w:val="single" w:sz="2" w:space="0" w:color="000000"/>
              <w:bottom w:val="single" w:sz="2" w:space="0" w:color="000000"/>
              <w:right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902</w:t>
            </w:r>
          </w:p>
        </w:tc>
      </w:tr>
      <w:tr>
        <w:trPr/>
        <w:tc>
          <w:tcPr>
            <w:tcW w:w="4047"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Общее количество педагогов в ОО</w:t>
            </w:r>
          </w:p>
        </w:tc>
        <w:tc>
          <w:tcPr>
            <w:tcW w:w="1839"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1916</w:t>
            </w:r>
          </w:p>
        </w:tc>
        <w:tc>
          <w:tcPr>
            <w:tcW w:w="1843"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1978</w:t>
            </w:r>
          </w:p>
        </w:tc>
        <w:tc>
          <w:tcPr>
            <w:tcW w:w="1886" w:type="dxa"/>
            <w:tcBorders>
              <w:left w:val="single" w:sz="2" w:space="0" w:color="000000"/>
              <w:bottom w:val="single" w:sz="2" w:space="0" w:color="000000"/>
              <w:right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2062</w:t>
            </w:r>
          </w:p>
        </w:tc>
      </w:tr>
      <w:tr>
        <w:trPr/>
        <w:tc>
          <w:tcPr>
            <w:tcW w:w="4047"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Доля от общего количества педагогов</w:t>
            </w:r>
          </w:p>
        </w:tc>
        <w:tc>
          <w:tcPr>
            <w:tcW w:w="1839"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41,1 %</w:t>
            </w:r>
          </w:p>
        </w:tc>
        <w:tc>
          <w:tcPr>
            <w:tcW w:w="1843" w:type="dxa"/>
            <w:tcBorders>
              <w:left w:val="single" w:sz="2" w:space="0" w:color="000000"/>
              <w:bottom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45,2 %</w:t>
            </w:r>
          </w:p>
        </w:tc>
        <w:tc>
          <w:tcPr>
            <w:tcW w:w="1886" w:type="dxa"/>
            <w:tcBorders>
              <w:left w:val="single" w:sz="2" w:space="0" w:color="000000"/>
              <w:bottom w:val="single" w:sz="2" w:space="0" w:color="000000"/>
              <w:right w:val="single" w:sz="2" w:space="0" w:color="000000"/>
            </w:tcBorders>
            <w:vAlign w:val="center"/>
          </w:tcPr>
          <w:p>
            <w:pPr>
              <w:pStyle w:val="Style12"/>
              <w:spacing w:lineRule="atLeast" w:line="375" w:before="0" w:after="160"/>
              <w:rPr>
                <w:color w:themeColor="text1" w:val="000000"/>
              </w:rPr>
            </w:pPr>
            <w:r>
              <w:rPr>
                <w:rStyle w:val="Strong"/>
                <w:rFonts w:ascii="Times New Roman" w:hAnsi="Times New Roman"/>
                <w:color w:themeColor="text1" w:val="000000"/>
                <w:sz w:val="24"/>
                <w:szCs w:val="24"/>
              </w:rPr>
              <w:t>43,7 %</w:t>
            </w:r>
          </w:p>
        </w:tc>
      </w:tr>
    </w:tbl>
    <w:p>
      <w:pPr>
        <w:pStyle w:val="Normal"/>
        <w:spacing w:lineRule="auto" w:line="240" w:before="0" w:after="0"/>
        <w:ind w:firstLine="709"/>
        <w:jc w:val="both"/>
        <w:rPr>
          <w:color w:themeColor="text1" w:val="000000"/>
        </w:rPr>
      </w:pPr>
      <w:r>
        <w:rPr>
          <w:rFonts w:ascii="Times New Roman" w:hAnsi="Times New Roman"/>
          <w:color w:themeColor="text1" w:val="000000"/>
          <w:sz w:val="24"/>
        </w:rPr>
        <w:t>Анализ данных показывает, что наибольший рост числа обученных наблюдается среди педагогов школ – с 488 до 565 человек (+15,8 %), тогда как количество педагогов ДОУ, прошедших КПК, снизилось с 369 до 296 (–19,8 %). Это может быть связано как с различными графиками курсовой нагрузки, так и с недостаточным планированием повышения квалификации в дошкольных учреждениях. При этом педагоги дополнительного образования демонстрируют устойчивый рост (с 32 до 41 человека), что свидетельствует о повышении внимания к данной категории.</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В отчётном периоде при сборе информации от образовательных организаций были конкретизированы направления курсовой подготовки, что позволило получить более детализированную картину выбора педагогов.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r>
    </w:p>
    <w:p>
      <w:pPr>
        <w:pStyle w:val="Normal"/>
        <w:spacing w:lineRule="auto" w:line="240" w:before="0" w:after="0"/>
        <w:ind w:firstLine="709"/>
        <w:jc w:val="both"/>
        <w:rPr>
          <w:i/>
          <w:i/>
          <w:color w:themeColor="text1" w:val="000000"/>
        </w:rPr>
      </w:pPr>
      <w:r>
        <w:rPr>
          <w:rFonts w:ascii="Times New Roman" w:hAnsi="Times New Roman"/>
          <w:i/>
          <w:color w:themeColor="text1" w:val="000000"/>
          <w:sz w:val="24"/>
        </w:rPr>
        <w:t>Таблица 2. Мониторинг выбора курсов по направлениям за три года</w:t>
      </w:r>
    </w:p>
    <w:tbl>
      <w:tblPr>
        <w:tblW w:w="9616" w:type="dxa"/>
        <w:jc w:val="left"/>
        <w:tblInd w:w="55" w:type="dxa"/>
        <w:tblLayout w:type="fixed"/>
        <w:tblCellMar>
          <w:top w:w="55" w:type="dxa"/>
          <w:left w:w="55" w:type="dxa"/>
          <w:bottom w:w="150" w:type="dxa"/>
          <w:right w:w="55" w:type="dxa"/>
        </w:tblCellMar>
        <w:tblLook w:val="0000" w:noHBand="0" w:noVBand="0" w:firstColumn="0" w:lastRow="0" w:lastColumn="0" w:firstRow="0"/>
      </w:tblPr>
      <w:tblGrid>
        <w:gridCol w:w="4985"/>
        <w:gridCol w:w="1528"/>
        <w:gridCol w:w="1528"/>
        <w:gridCol w:w="1574"/>
      </w:tblGrid>
      <w:tr>
        <w:trPr>
          <w:tblHeader w:val="true"/>
        </w:trPr>
        <w:tc>
          <w:tcPr>
            <w:tcW w:w="4985"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Направления</w:t>
            </w:r>
          </w:p>
        </w:tc>
        <w:tc>
          <w:tcPr>
            <w:tcW w:w="1528"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2023–2024 уч. год</w:t>
            </w:r>
          </w:p>
        </w:tc>
        <w:tc>
          <w:tcPr>
            <w:tcW w:w="1528" w:type="dxa"/>
            <w:tcBorders>
              <w:top w:val="single" w:sz="2" w:space="0" w:color="000000"/>
              <w:left w:val="single" w:sz="2" w:space="0" w:color="000000"/>
              <w:bottom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2024–2025 уч. год</w:t>
            </w:r>
          </w:p>
        </w:tc>
        <w:tc>
          <w:tcPr>
            <w:tcW w:w="1574" w:type="dxa"/>
            <w:tcBorders>
              <w:top w:val="single" w:sz="2" w:space="0" w:color="000000"/>
              <w:left w:val="single" w:sz="2" w:space="0" w:color="000000"/>
              <w:bottom w:val="single" w:sz="2" w:space="0" w:color="000000"/>
              <w:right w:val="single" w:sz="2" w:space="0" w:color="000000"/>
            </w:tcBorders>
            <w:vAlign w:val="center"/>
          </w:tcPr>
          <w:p>
            <w:pPr>
              <w:pStyle w:val="Style13"/>
              <w:spacing w:lineRule="atLeast" w:line="375" w:before="0" w:after="160"/>
              <w:jc w:val="left"/>
              <w:rPr>
                <w:rFonts w:ascii="Times New Roman" w:hAnsi="Times New Roman"/>
                <w:color w:themeColor="text1" w:val="000000"/>
                <w:sz w:val="24"/>
                <w:szCs w:val="24"/>
              </w:rPr>
            </w:pPr>
            <w:r>
              <w:rPr>
                <w:rFonts w:ascii="Times New Roman" w:hAnsi="Times New Roman"/>
                <w:color w:themeColor="text1" w:val="000000"/>
                <w:sz w:val="24"/>
                <w:szCs w:val="24"/>
              </w:rPr>
              <w:t>2025–2026 уч. год</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Реализация обновлённых ФГОС</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453</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288</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183</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Организация образования для детей с ОВЗ</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299</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423</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148</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Функциональная грамотность</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84</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119</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147</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Профилактика употребления ПАВ</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Профилактика детского дорожно-транспортного травматизма</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9</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16</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Противодействие идеологии терроризма и экстремизма</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50</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34</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20</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Формирование здорового образа жизни</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28</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27</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50</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Организация работы с семьёй</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8</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56</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150</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Работа с одарёнными детьми</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8</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16</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15</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Работа с детьми из семей мигрантов</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9</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60</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Цифровая трансформация образования</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53</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78</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85</w:t>
            </w:r>
          </w:p>
        </w:tc>
      </w:tr>
      <w:tr>
        <w:trPr/>
        <w:tc>
          <w:tcPr>
            <w:tcW w:w="4985"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Другое</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327</w:t>
            </w:r>
          </w:p>
        </w:tc>
        <w:tc>
          <w:tcPr>
            <w:tcW w:w="1528" w:type="dxa"/>
            <w:tcBorders>
              <w:left w:val="single" w:sz="2" w:space="0" w:color="000000"/>
              <w:bottom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426</w:t>
            </w:r>
          </w:p>
        </w:tc>
        <w:tc>
          <w:tcPr>
            <w:tcW w:w="1574" w:type="dxa"/>
            <w:tcBorders>
              <w:left w:val="single" w:sz="2" w:space="0" w:color="000000"/>
              <w:bottom w:val="single" w:sz="2" w:space="0" w:color="000000"/>
              <w:right w:val="single" w:sz="2" w:space="0" w:color="000000"/>
            </w:tcBorders>
            <w:vAlign w:val="center"/>
          </w:tcPr>
          <w:p>
            <w:pPr>
              <w:pStyle w:val="Style12"/>
              <w:spacing w:lineRule="atLeast" w:line="375" w:before="0" w:after="160"/>
              <w:rPr>
                <w:rFonts w:ascii="Times New Roman" w:hAnsi="Times New Roman"/>
                <w:color w:themeColor="text1" w:val="000000"/>
                <w:sz w:val="24"/>
                <w:szCs w:val="24"/>
              </w:rPr>
            </w:pPr>
            <w:r>
              <w:rPr>
                <w:rFonts w:ascii="Times New Roman" w:hAnsi="Times New Roman"/>
                <w:color w:themeColor="text1" w:val="000000"/>
                <w:sz w:val="24"/>
                <w:szCs w:val="24"/>
              </w:rPr>
              <w:t>382</w:t>
            </w:r>
          </w:p>
        </w:tc>
      </w:tr>
    </w:tbl>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r>
    </w:p>
    <w:p>
      <w:pPr>
        <w:pStyle w:val="Normal"/>
        <w:spacing w:lineRule="auto" w:line="240" w:before="0" w:after="0"/>
        <w:ind w:firstLine="709"/>
        <w:jc w:val="both"/>
        <w:rPr>
          <w:color w:themeColor="text1" w:val="000000"/>
        </w:rPr>
      </w:pPr>
      <w:r>
        <w:rPr>
          <w:rFonts w:ascii="Times New Roman" w:hAnsi="Times New Roman"/>
          <w:color w:themeColor="text1" w:val="000000"/>
          <w:sz w:val="24"/>
        </w:rPr>
        <w:t>Наиболее значимые изменения в структуре выбора направлений свидетельствуют о следующих тенденциях. В связи с завершением переходного периода на обновлённые ФГОС потребность в соответствующих курсах закономерно снизилась: в 2025–2026 учебном году по программам ФГОС НОО, ООО и СОО прошли обучение 125 педагогов, причём курсы имеют преимущественно предметную направленность (история, математика, иностранный язык и другие). В два раза сократилось количество педагогов, прошедших курсы по организации образования для детей с ОВЗ – с 423 до 148 человек, что не означает снижения актуальности данной темы, но может свидетельствовать о перенасыщении педагогов курсами общего характера и необходимости перехода к практико-ориентированным программам с обновлённым содержанием.</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Резкое увеличение числа педагогов, выбравших направление «Организация работы с семьёй» – с 56 до 150 человек (+167 %), указывает на возросшую потребность в освоении технологий взаимодействия с родителями, особенно в условиях реализации ФОП и усиления воспитательной функции образования. Наиболее востребованными оказались курсы по семьеведению, проектированию просветительской деятельности для родителей и использованию кинопрактики в работе с семьями, воспитывающими детей с ОВЗ.</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Наблюдается устойчивый рост интереса к метапредметным курсам по функциональной грамотности – со 119 до 147 человек, что подтверждает актуальность данного направления и ориентацию педагогов на формирование у обучающихся компетенций, востребованных в реальной жизни. Сохраняется высокий спрос на курсы по цифровой трансформации образования – 85 педагогов, что связано с оснащением «Точек роста», внедрением цифровых образовательных ресурсов и необходимостью формирования цифровых компетенций как у школьников, так и у дошкольников. При этом вызывает тревогу снижение числа педагогов, прошедших курсы по работе с детьми из семей мигрантов – с 60 до 5 человек. Данное направление остаётся крайне актуальным для округа в связи с ростом числа обучающихся с миграционной историей, и его игнорирование требует принятия оперативных управленческих решений. Кроме того, в 2025–2026 учебном году зафиксировано существенное сокращение численности педагогических работников, прошедших курсы повышения квалификации по направлению «Противодействие идеологии терроризма и экстремизма». В целях устранения данного дефицита в 2026–2027 учебном году планируется организация соответствующего обучения на базе Координационного центра ПГНИУ, а также у иных поставщиков образовательных услуг, что обусловлено сохранением актуальности тематики и её нахождением на региональном контроле.</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 отчётном периоде продолжилось системное обучение руководящих кадров образовательных организаций. По программам управленческой направленности («Менеджмент 2.0: новые тренды в управлении современной образовательной организацией», «Использование результатов ВСОКО для управления развитием образовательной организации», «Обеспечение безопасности обучающихся и персонала», «Профилактика профессионального выгорания педагогов» и другим) прошли обучение 21 руководитель и заместитель руководителя. Кроме того, по инициативе Центра развития образования организованы курсы для заместителей директоров школ по программе «Управление образовательной деятельностью в условиях системных изменений», которые позволили управленческим командам актуализировать подходы к методическому сопровождению педагогов и экспертизе современного урока; обучено 26 человек.</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Для педагогических работников в отчётном периоде также был организован ряд значимых курсов повышения квалификации. В рамках инициативы Министерства просвещения РФ 34 педагога средней и старшей школы прошли обучение по курсу «Современные достижения отечественной науки для обеспечения технологического суверенитета страны». Подготовку в качестве членов региональных предметных комиссий ГИА-9 и ГИА-11 прошли 34 педагога. Кроме того, в рамках сотрудничества с отделом образования Пермской епархии 28 педагогов (учителя ОРКСЭ, истории, начальных классов, администраторы) завершили обучение по дополнительной профессиональной программе «Основы православной культуры» объёмом 108 часов, что расширяет их компетенции в области духовно-нравственного воспитания.</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Анализ результатов кадрового мониторинга по разделу курсовой подготовки позволяет констатировать, что обучение педагогических и руководящих работников Пермского муниципального округа носит планомерный характер и планируется в образовательных организациях на трёхлетний период. Выбор тематики курсов осуществляется как на уровне учреждений, так и индивидуально педагогами, исходя из выявленных профессиональных дефицитов и задач развития. Приоритетными направлениями курсовой подготовки остаются: реализация обновлённых ФГОС, организация образования для детей с ОВЗ, функциональная грамотность, цифровая трансформация образования и организация работы с семьёй. Вместе с тем выявлены системные проблемы, требующие внимания: сокращение числа педагогов ДОУ, проходящих КПК; снижение интереса к курсам по работе с детьми с ОВЗ при сохранении профессиональных затруднений в данной области; резкое падение активности по направлению работы с детьми мигрантов; неполное предоставление данных о курсовой подготовке рядом образовательных организаций, что затрудняет объективный анализ и планирование.</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Вывод по разделу:</w:t>
      </w:r>
      <w:r>
        <w:rPr>
          <w:rFonts w:ascii="Times New Roman" w:hAnsi="Times New Roman"/>
          <w:color w:themeColor="text1" w:val="000000"/>
          <w:sz w:val="24"/>
        </w:rPr>
        <w:t xml:space="preserve"> курсовая подготовка педагогических и руководящих кадров в отчётном периоде сохранила планомерный характер и соответствует трёхлетнему циклу планирования. Выбор тематики курсов отражает актуальные профессиональные потребности педагогов: рост интереса к работе с семьёй и функциональной грамотности, устойчивый спрос на цифровую трансформацию, снижение интереса к ОВЗ-тематике при сохранении дефицитов. Вместе с тем выявлены тревожные тенденции: резкое падение активности по работе с детьми мигрантов и неполнота предоставляемых данных.</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Рекомендации:</w:t>
      </w:r>
      <w:r>
        <w:rPr>
          <w:rFonts w:ascii="Times New Roman" w:hAnsi="Times New Roman"/>
          <w:color w:themeColor="text1" w:val="000000"/>
          <w:sz w:val="24"/>
        </w:rPr>
        <w:t xml:space="preserve"> руководителям образовательных организаций обеспечить полное и своевременное предоставление данных о курсовой подготовке педагогов для формирования достоверной картины кадрового развития. При планировании повышения квалификации на 2026–2027 учебный год целесообразно учитывать как приоритетные следующие направления: социально-языковая адаптация и культурная интеграция детей с миграционной историей; совершенствование профессиональных компетенций педагогов, реализующих адаптированные основные образовательные программы для обучающихся с ОВЗ, в контексте инклюзивного образования; профилактика цифровой и гаджетовой зависимости и безопасность в сети «Интернет»; профилактика суицидального поведения среди подростков; использование интерактивных форм и воспитательных технологий взаимодействия с семьями обучающихся; цифровая компетентность учителя в области применения цифровых образовательных ресурсов при организации образовательного процесса; профилактика профессионального выгорания педагогов; а также повышение квалификации педагогических работников по вопросам противодействия идеологии терроризма и экстремизма. В части работы с педагогами ДОУ необходимо провести анализ причин снижения числа обученных и организовать целевую работу по планированию курсовой нагрузки на предстоящий период, уделяя особое внимание практико-ориентированным программам по актуальным вопросам дошкольного образования. Для преодоления дефицита компетенций в работе с детьми с ОВЗ рекомендовано акцентировать внимание на курсах, содержащих практические инструменты и методики, а не только теоретические основания, и привлекать к обучению педагогов из числа наиболее нуждающихся в повышении квалификации по данному направлению. Для восстановления активности по направлению работы с детьми мигрантов необходимо организовать в первом полугодии 2026–2027 учебного года адресное информирование педагогов о наличии соответствующих курсов, включить данное направление в планы повышения квалификации школ с наибольшим количеством детей с миграционной историей и рассмотреть возможность организации курсов на базе округа с привлечением специалистов в области социокультурной адаптации. Управлению образования и Центру развития образования рекомендовано продолжить практику организации курсов повышения квалификации для руководящих кадров и педагогов с привлечением ведущих специалистов и экспертов, а также усилить мониторинговую функцию для оперативного выявления новых профессиональных дефицитов и корректировки планов курсовой подготовки.</w:t>
      </w:r>
    </w:p>
    <w:p>
      <w:pPr>
        <w:pStyle w:val="Normal"/>
        <w:spacing w:lineRule="auto" w:line="240" w:before="0" w:after="0"/>
        <w:jc w:val="both"/>
        <w:rPr>
          <w:rFonts w:ascii="Times New Roman" w:hAnsi="Times New Roman"/>
          <w:color w:themeColor="text1" w:val="000000"/>
          <w:sz w:val="24"/>
        </w:rPr>
      </w:pPr>
      <w:r>
        <w:rPr>
          <w:rFonts w:ascii="Times New Roman" w:hAnsi="Times New Roman"/>
          <w:color w:themeColor="text1" w:val="000000"/>
          <w:sz w:val="24"/>
        </w:rPr>
      </w:r>
    </w:p>
    <w:p>
      <w:pPr>
        <w:pStyle w:val="Normal"/>
        <w:spacing w:lineRule="auto" w:line="240" w:before="0" w:after="0"/>
        <w:jc w:val="center"/>
        <w:rPr>
          <w:color w:themeColor="text1" w:val="000000"/>
        </w:rPr>
      </w:pPr>
      <w:r>
        <w:rPr>
          <w:rFonts w:ascii="Times New Roman" w:hAnsi="Times New Roman"/>
          <w:b/>
          <w:color w:themeColor="text1" w:val="000000"/>
          <w:sz w:val="24"/>
        </w:rPr>
        <w:t>Привлечение и удержание молодых педагогов в отрасли</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Одной из приоритетных задач системы образования Пермского муниципального округа является создание условий для привлечения и удержания молодых педагогов в образовательных организациях.</w:t>
      </w:r>
    </w:p>
    <w:p>
      <w:pPr>
        <w:pStyle w:val="Normal"/>
        <w:spacing w:lineRule="auto" w:line="240" w:before="0" w:after="0"/>
        <w:ind w:firstLine="709"/>
        <w:jc w:val="both"/>
        <w:rPr>
          <w:rFonts w:ascii="Times New Roman" w:hAnsi="Times New Roman"/>
          <w:i/>
          <w:i/>
          <w:color w:themeColor="text1" w:val="000000"/>
          <w:sz w:val="24"/>
        </w:rPr>
      </w:pPr>
      <w:r>
        <w:rPr>
          <w:rFonts w:ascii="Times New Roman" w:hAnsi="Times New Roman"/>
          <w:color w:themeColor="text1" w:val="000000"/>
          <w:sz w:val="24"/>
        </w:rPr>
        <w:t>За последние три года наблюдается устойчивый приток молодых педагогов в образовательные организации Пермского муниципального округа. В 2023 году трудоустроены 87 молодых педагогов (из них 40 человек – выпускники 2023 года: 16 – высшего образования, 24 – среднего профессионального образования); в 2024 году – 103 молодых педагога (из них 37 человек – выпускники 2024 года: 11 – высшего образования, 26 – среднего профессионального образования); в 2025 году – 101 молодой педагог (из них 49 человек – выпускники 2025 года: 27 – высшего образования, 22 – среднего профессионального образования). По состоянию на 01.07.2026 общая численность молодых педагогов в системе образования округа составляет 599 человек (29%).</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С целью привлечения молодых педагогов в отрасли реализован ряд мероприятий:</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 xml:space="preserve">- </w:t>
      </w:r>
      <w:r>
        <w:rPr>
          <w:rFonts w:ascii="Times New Roman" w:hAnsi="Times New Roman"/>
          <w:i/>
          <w:color w:themeColor="text1" w:val="000000"/>
          <w:sz w:val="24"/>
        </w:rPr>
        <w:t>мониторинг</w:t>
      </w:r>
      <w:r>
        <w:rPr>
          <w:rFonts w:ascii="Times New Roman" w:hAnsi="Times New Roman"/>
          <w:color w:themeColor="text1" w:val="000000"/>
          <w:sz w:val="24"/>
        </w:rPr>
        <w:t xml:space="preserve"> существующих и прогнозных вакансий в образовательных учреждениях округа, который позволил выявить школы и детские сады с максимальной потребностью. По состоянию на 01.07.2026 (по данным статистической отчетности ЕИАС «Монитор» на 01.07.2026 г.) в образовательных организациях Пермского муниципального округа имеется </w:t>
      </w:r>
      <w:r>
        <w:rPr>
          <w:rFonts w:ascii="Times New Roman" w:hAnsi="Times New Roman"/>
          <w:color w:themeColor="text1" w:val="000000"/>
          <w:sz w:val="24"/>
          <w:shd w:fill="auto" w:val="clear"/>
        </w:rPr>
        <w:t xml:space="preserve">115 </w:t>
      </w:r>
      <w:r>
        <w:rPr>
          <w:rFonts w:ascii="Times New Roman" w:hAnsi="Times New Roman"/>
          <w:color w:themeColor="text1" w:val="000000"/>
          <w:sz w:val="24"/>
        </w:rPr>
        <w:t xml:space="preserve">вакантных должностей педагогических работников. Наиболее востребованы вакансии </w:t>
      </w:r>
      <w:r>
        <w:rPr>
          <w:rFonts w:ascii="Times New Roman" w:hAnsi="Times New Roman"/>
          <w:color w:themeColor="text1" w:val="000000"/>
          <w:sz w:val="24"/>
          <w:shd w:fill="auto" w:val="clear"/>
        </w:rPr>
        <w:t>воспитателя, музыкального руководителя, учителя-логопеда.</w:t>
      </w:r>
      <w:r>
        <w:rPr>
          <w:rFonts w:ascii="Times New Roman" w:hAnsi="Times New Roman"/>
          <w:color w:themeColor="text1" w:val="000000"/>
          <w:sz w:val="24"/>
        </w:rPr>
        <w:t xml:space="preserve"> Наибольшее количество вакансий педагогических работников в</w:t>
      </w:r>
      <w:r>
        <w:rPr>
          <w:rFonts w:ascii="Times New Roman" w:hAnsi="Times New Roman"/>
          <w:color w:themeColor="text1" w:val="000000"/>
          <w:sz w:val="24"/>
          <w:shd w:fill="auto" w:val="clear"/>
        </w:rPr>
        <w:t xml:space="preserve"> МАДОУ «Савинский детский сад «Мечтатели» и МАДОУ «Двуреченский детский сад «Семицветик», МАДОУ «Сылвенский детский сад «Рябинка». </w:t>
      </w:r>
    </w:p>
    <w:p>
      <w:pPr>
        <w:pStyle w:val="Normal"/>
        <w:spacing w:lineRule="auto" w:line="240" w:before="0" w:after="0"/>
        <w:ind w:firstLine="709"/>
        <w:jc w:val="both"/>
        <w:rPr>
          <w:color w:themeColor="text1" w:val="000000"/>
        </w:rPr>
      </w:pPr>
      <w:r>
        <w:rPr>
          <w:rFonts w:ascii="Times New Roman" w:hAnsi="Times New Roman"/>
          <w:i/>
          <w:color w:themeColor="text1" w:val="000000"/>
          <w:sz w:val="24"/>
        </w:rPr>
        <w:t xml:space="preserve">-мероприятия в рамках взаимодействия с центром занятости населения Пермского края, </w:t>
      </w:r>
      <w:r>
        <w:rPr>
          <w:rFonts w:ascii="Times New Roman" w:hAnsi="Times New Roman"/>
          <w:color w:themeColor="text1" w:val="000000"/>
          <w:sz w:val="24"/>
        </w:rPr>
        <w:t>предполагающие размещение информации о вакантных должностях на всех ресурсах центра занятости, а также участие специалистов МКУ «Центр развития образования Пермского муниципального округа»  в Ярмарке вакансий.</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 xml:space="preserve">- </w:t>
      </w:r>
      <w:r>
        <w:rPr>
          <w:rFonts w:ascii="Times New Roman" w:hAnsi="Times New Roman"/>
          <w:i/>
          <w:color w:themeColor="text1" w:val="000000"/>
          <w:sz w:val="24"/>
        </w:rPr>
        <w:t xml:space="preserve">мероприятия в рамках сотрудничества </w:t>
      </w:r>
      <w:r>
        <w:rPr>
          <w:rFonts w:ascii="Times New Roman" w:hAnsi="Times New Roman"/>
          <w:color w:themeColor="text1" w:val="000000"/>
          <w:sz w:val="24"/>
        </w:rPr>
        <w:t xml:space="preserve">с педагогическими колледжами Пермского края позволили организовать выезд представителей административных команд образовательных учреждений Пермского муниципального округа в колледжи с целью ознакомления учащихся с деятельностью образовательного учреждения, системой оплаты и стимулирования молодых педагогов. Все заинтересовавшиеся студенты были приглашены на собеседование и экскурсию в образовательные организации. </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С целью удержания молодых педагогов в отрасли ведется деятельность в нескольких направлениях:</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 xml:space="preserve">- </w:t>
      </w:r>
      <w:r>
        <w:rPr>
          <w:rFonts w:ascii="Times New Roman" w:hAnsi="Times New Roman"/>
          <w:b/>
          <w:i/>
          <w:color w:themeColor="text1" w:val="000000"/>
          <w:sz w:val="24"/>
        </w:rPr>
        <w:t>содействие профессиональному развитию молодых специалистов через включение в конкурсы профессионального мастерства разного уровня</w:t>
      </w:r>
      <w:r>
        <w:rPr>
          <w:rFonts w:ascii="Times New Roman" w:hAnsi="Times New Roman"/>
          <w:color w:themeColor="text1" w:val="000000"/>
          <w:sz w:val="24"/>
        </w:rPr>
        <w:t xml:space="preserve">. Так, в традиционном окружном конкурсе профессионального мастерства «Зеленое яблоко – 2026» приняли участие 115 молодых педагогов образовательных учреждений. </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 xml:space="preserve">- </w:t>
      </w:r>
      <w:r>
        <w:rPr>
          <w:rFonts w:ascii="Times New Roman" w:hAnsi="Times New Roman"/>
          <w:b/>
          <w:i/>
          <w:color w:themeColor="text1" w:val="000000"/>
          <w:sz w:val="24"/>
        </w:rPr>
        <w:t xml:space="preserve">организация деятельности «Ассоциации молодых педагогов». </w:t>
      </w:r>
      <w:r>
        <w:rPr>
          <w:rFonts w:ascii="Times New Roman" w:hAnsi="Times New Roman"/>
          <w:color w:themeColor="text1" w:val="000000"/>
          <w:sz w:val="24"/>
        </w:rPr>
        <w:t>Данное объединение при поддержке МКУ ЦРО ПМО реализовало ряд мероприятий, вызвавших большой интерес у молодых педагогов: V выездной фестиваль молодых педагогов «УчительФест 5.0», педагогический КВИЗ «Перезагрузка», летняя выездная школа молодых педагогов «Пермский характер: сила в единстве!», встречи в формате «Кофе-брейк с известным человеком» с участием главы округа и региональных экспертов. Этими событиями были охвачены 172 молодых педагога.</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 xml:space="preserve">- </w:t>
      </w:r>
      <w:r>
        <w:rPr>
          <w:rFonts w:ascii="Times New Roman" w:hAnsi="Times New Roman"/>
          <w:b/>
          <w:i/>
          <w:color w:themeColor="text1" w:val="000000"/>
          <w:sz w:val="24"/>
        </w:rPr>
        <w:t>выстраивание горизонтальных связей в сообществе молодых педагогов</w:t>
      </w:r>
      <w:r>
        <w:rPr>
          <w:rFonts w:ascii="Times New Roman" w:hAnsi="Times New Roman"/>
          <w:color w:themeColor="text1" w:val="000000"/>
          <w:sz w:val="24"/>
        </w:rPr>
        <w:t>, День молодого педагога в рамках августовских мероприятий и ряд встреч с трансляцией педагогического опыта на муниципальных цифровых площадках. Члены Ассоциации молодых педагогов также выступили организаторами активностей для школьников в рамках «Больших цифровых игр» и представили округ в программе «Акселератор социальных изменений «Пермский период» в г. Краснокамск.</w:t>
      </w:r>
    </w:p>
    <w:p>
      <w:pPr>
        <w:pStyle w:val="Normal"/>
        <w:spacing w:lineRule="auto" w:line="240" w:before="0" w:after="0"/>
        <w:ind w:firstLine="709"/>
        <w:jc w:val="both"/>
        <w:rPr>
          <w:color w:themeColor="text1" w:val="000000"/>
        </w:rPr>
      </w:pPr>
      <w:r>
        <w:rPr>
          <w:color w:themeColor="text1" w:val="000000"/>
        </w:rPr>
        <w:t xml:space="preserve">- </w:t>
      </w:r>
      <w:r>
        <w:rPr>
          <w:rFonts w:ascii="Times New Roman" w:hAnsi="Times New Roman"/>
          <w:b/>
          <w:i/>
          <w:color w:themeColor="text1" w:val="000000"/>
          <w:sz w:val="24"/>
        </w:rPr>
        <w:t>выстраивание взаимодействия с Молодежным центром «Кристалл»,</w:t>
      </w:r>
      <w:r>
        <w:rPr>
          <w:rFonts w:ascii="Times New Roman" w:hAnsi="Times New Roman"/>
          <w:color w:themeColor="text1" w:val="000000"/>
          <w:sz w:val="24"/>
        </w:rPr>
        <w:t xml:space="preserve"> что способствует развитию инфраструктуры молодежных проектов, повышению педагогического мастерства молодых педагогов и популяризации идей наставничества среди педагогических работников.</w:t>
      </w:r>
    </w:p>
    <w:p>
      <w:pPr>
        <w:pStyle w:val="Normal"/>
        <w:spacing w:lineRule="auto" w:line="240" w:before="0" w:after="0"/>
        <w:ind w:firstLine="709"/>
        <w:jc w:val="both"/>
        <w:rPr>
          <w:rFonts w:ascii="Times New Roman" w:hAnsi="Times New Roman"/>
          <w:color w:themeColor="text1" w:val="000000"/>
          <w:sz w:val="24"/>
        </w:rPr>
      </w:pPr>
      <w:r>
        <w:rPr>
          <w:color w:themeColor="text1" w:val="000000"/>
        </w:rPr>
        <w:t xml:space="preserve">- </w:t>
      </w:r>
      <w:r>
        <w:rPr>
          <w:rFonts w:ascii="Times New Roman" w:hAnsi="Times New Roman"/>
          <w:b/>
          <w:i/>
          <w:color w:themeColor="text1" w:val="000000"/>
          <w:sz w:val="24"/>
        </w:rPr>
        <w:t>работа кадрового резерва</w:t>
      </w:r>
      <w:r>
        <w:rPr>
          <w:rFonts w:ascii="Times New Roman" w:hAnsi="Times New Roman"/>
          <w:color w:themeColor="text1" w:val="000000"/>
          <w:sz w:val="24"/>
        </w:rPr>
        <w:t xml:space="preserve"> с целью обеспечения текущей и перспективной потребности в замещении руководящих должностей и обеспечения непрерывности и преемственности управления образовательных учреждений Пермского муниципального округа.</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Вывод по разделу:</w:t>
      </w:r>
      <w:r>
        <w:rPr>
          <w:rFonts w:ascii="Times New Roman" w:hAnsi="Times New Roman"/>
          <w:color w:themeColor="text1" w:val="000000"/>
          <w:sz w:val="24"/>
        </w:rPr>
        <w:t xml:space="preserve"> количественные показатели позволяют констатировать результативность проведённой работы по привлечению и удержанию молодых педагогов. Мероприятия Ассоциации молодых педагогов охватывают значительную часть молодых специалистов и способствуют формированию устойчивого профессионального сообщества. Вместе с тем деятельность Ассоциации молодых педагогов в текущем виде в недостаточной степени ориентирована на системное повышение профессиональных компетенций молодых специалистов.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Рекомендации:</w:t>
      </w:r>
      <w:r>
        <w:rPr>
          <w:rFonts w:ascii="Times New Roman" w:hAnsi="Times New Roman"/>
          <w:color w:themeColor="text1" w:val="000000"/>
          <w:sz w:val="24"/>
        </w:rPr>
        <w:t xml:space="preserve"> для повышения эффективности деятельности Ассоциации молодых педагогов в следующем учебном году рекомендуется усилить методическую составляющую мероприятий, дополнив программу практическими мастер-классами и семинарами-практикумами по актуальным вопросам педагогической деятельности, а также организовать адресную работу с молодых педагогами, не охваченными деятельностью Ассоциации, через индивидуальные консультации и дистанционные форматы участия.</w:t>
      </w:r>
    </w:p>
    <w:p>
      <w:pPr>
        <w:pStyle w:val="Normal"/>
        <w:spacing w:lineRule="auto" w:line="240" w:before="0" w:after="0"/>
        <w:ind w:firstLine="709"/>
        <w:jc w:val="both"/>
        <w:rPr>
          <w:rFonts w:ascii="Times New Roman" w:hAnsi="Times New Roman"/>
          <w:color w:themeColor="text1" w:val="000000"/>
          <w:sz w:val="24"/>
          <w:highlight w:val="yellow"/>
        </w:rPr>
      </w:pPr>
      <w:r>
        <w:rPr>
          <w:rFonts w:ascii="Times New Roman" w:hAnsi="Times New Roman"/>
          <w:color w:themeColor="text1" w:val="000000"/>
          <w:sz w:val="24"/>
          <w:highlight w:val="yellow"/>
        </w:rPr>
      </w:r>
    </w:p>
    <w:p>
      <w:pPr>
        <w:pStyle w:val="Normal"/>
        <w:spacing w:lineRule="auto" w:line="240" w:before="0" w:after="0"/>
        <w:jc w:val="center"/>
        <w:rPr>
          <w:color w:themeColor="text1" w:val="000000"/>
        </w:rPr>
      </w:pPr>
      <w:r>
        <w:rPr>
          <w:rFonts w:ascii="Times New Roman" w:hAnsi="Times New Roman"/>
          <w:b/>
          <w:color w:themeColor="text1" w:val="000000"/>
          <w:sz w:val="24"/>
        </w:rPr>
        <w:t>Сайты образовательных организаций</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Одним из направлений работы методической службы МКУ ЦРО является  мониторинг сайтов образовательных организаций Пермского муниципального округа, а также отслеживание изменений в соответствующих нормативных документах (Постановление Правительства Российской Федерации от 20.10.2021 № 1802 «Об утверждении Правил размещения на официальном сайте образовательной организации в информационно - телекоммуникационной сети «Интернет» и обновления информации об образовательной организации»; Приказ Федеральной службы по надзору в сфере образования и науки от 04.08.2023 № 1493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и др.)</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В этом году комплексная проверка сайтов проводилась 1 раз осенью 2025 года. Проверку осуществляли специалисты Управления образования и Центра развития образования Пермского муниципального округа. Специалистами были просмотрены сайты 17 школ, 11 садов и 2-х учреждений дополнительного образования. Следующая проверка запланирована на октябрь 2026 года.</w:t>
      </w:r>
    </w:p>
    <w:p>
      <w:pPr>
        <w:pStyle w:val="Normal"/>
        <w:spacing w:lineRule="auto" w:line="240" w:before="0" w:after="0"/>
        <w:ind w:left="709"/>
        <w:jc w:val="both"/>
        <w:rPr>
          <w:color w:themeColor="text1" w:val="000000"/>
        </w:rPr>
      </w:pPr>
      <w:r>
        <w:rPr>
          <w:rFonts w:ascii="Times New Roman" w:hAnsi="Times New Roman"/>
          <w:color w:themeColor="text1" w:val="000000"/>
          <w:sz w:val="24"/>
        </w:rPr>
        <w:t>Проверкой установлено:</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представлена актуальная информация об образовательной организации и учредителе, в том числе актуальное наименование, адреса, телефоны, электронные адреса.</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размещены Уставы в новой редакции.</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представлены локальные нормативные акты образовательной организации по основным вопросам организации и осуществления образовательной деятельности.</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есть актуальные заполненные вкладки «Профминимум».</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размещены рабочие программы воспитания и календарные планы воспитательной работы.</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главной странице сайтов всех образовательных организаций размещены телефоны учреждений системы профилактики (КДН, опека, ОВД, образование, культура, уполномоченного по правам ребенка), детский телефон доверия.</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есть раздел «Безопасность детей» (безопасность на дороге, на воде, на улице, дома, пожарная безопасность, интернет-безопасность).</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в полном объеме представлена информация о финансово-хозяйственной деятельности.</w:t>
      </w:r>
    </w:p>
    <w:p>
      <w:pPr>
        <w:pStyle w:val="Normal"/>
        <w:numPr>
          <w:ilvl w:val="0"/>
          <w:numId w:val="1"/>
        </w:numPr>
        <w:spacing w:lineRule="auto" w:line="240" w:before="0" w:after="0"/>
        <w:ind w:hanging="0" w:left="0"/>
        <w:jc w:val="both"/>
        <w:rPr>
          <w:color w:themeColor="text1" w:val="000000"/>
        </w:rPr>
      </w:pPr>
      <w:r>
        <w:rPr>
          <w:rFonts w:ascii="Times New Roman" w:hAnsi="Times New Roman"/>
          <w:color w:themeColor="text1" w:val="000000"/>
          <w:sz w:val="24"/>
        </w:rPr>
        <w:t>на сайтах образовательных организаций в полном объеме представлена актуальная информация в подразделе «Организация питания».</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 xml:space="preserve">Итоги мониторинга были доведены до сведения руководителей образовательных организаций, специалистами МКУ «Центр развития образования Пермского муниципального округа» проводилась разъяснительная работа индивидуально с каждым учреждением по устранению ошибок. </w:t>
      </w:r>
    </w:p>
    <w:p>
      <w:pPr>
        <w:pStyle w:val="Normal"/>
        <w:spacing w:lineRule="auto" w:line="240" w:before="0" w:after="0"/>
        <w:ind w:firstLine="709"/>
        <w:jc w:val="both"/>
        <w:rPr>
          <w:color w:themeColor="text1" w:val="000000"/>
        </w:rPr>
      </w:pPr>
      <w:r>
        <w:rPr>
          <w:rFonts w:ascii="Times New Roman" w:hAnsi="Times New Roman"/>
          <w:color w:themeColor="text1" w:val="000000"/>
          <w:sz w:val="24"/>
        </w:rPr>
        <w:t>В целом, все образовательные организации Пермского муниципального округа ведут официальные сайты и обеспечивают их регулярное обновление. В основном на официальных сайтах образовательных организаций в сети «Интернет» содержится актуальная информация. Информация, размещаемая образовательными организациями на официальных сайтах, в основном соответствует требованиям законодательства.</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b/>
          <w:color w:themeColor="text1" w:val="000000"/>
          <w:sz w:val="24"/>
        </w:rPr>
        <w:t>Вывод по разделу:</w:t>
      </w:r>
      <w:r>
        <w:rPr>
          <w:rFonts w:ascii="Times New Roman" w:hAnsi="Times New Roman"/>
          <w:color w:themeColor="text1" w:val="000000"/>
          <w:sz w:val="24"/>
        </w:rPr>
        <w:t xml:space="preserve"> работа по анализу сайтов ОО велась в соответствии с действующим законодательством, систематически и с учётом требований времени. Все образовательные организации обеспечивают регулярное обновление сайтов, информация в основном соответствует требованиям. Рекомендуется сохранить практику мониторинга сайтов с периодичностью не реже одного раза в год для оперативного выявления и устранения замечаний, а также усилить методическую поддержку ответственных за наполнение сайтов в части актуализации содержания и соблюдения формальных требований.</w:t>
      </w:r>
    </w:p>
    <w:p>
      <w:pPr>
        <w:pStyle w:val="Normal"/>
        <w:spacing w:lineRule="auto" w:line="240" w:before="0" w:after="0"/>
        <w:ind w:firstLine="709"/>
        <w:jc w:val="both"/>
        <w:rPr>
          <w:rFonts w:ascii="Times New Roman" w:hAnsi="Times New Roman"/>
          <w:color w:themeColor="text1" w:val="000000"/>
          <w:sz w:val="24"/>
          <w:highlight w:val="yellow"/>
        </w:rPr>
      </w:pPr>
      <w:r>
        <w:rPr>
          <w:rFonts w:ascii="Times New Roman" w:hAnsi="Times New Roman"/>
          <w:color w:themeColor="text1" w:val="000000"/>
          <w:sz w:val="24"/>
          <w:highlight w:val="yellow"/>
        </w:rPr>
      </w:r>
    </w:p>
    <w:p>
      <w:pPr>
        <w:pStyle w:val="Normal"/>
        <w:spacing w:lineRule="auto" w:line="240" w:before="0" w:after="0"/>
        <w:jc w:val="center"/>
        <w:rPr>
          <w:rFonts w:ascii="Times New Roman" w:hAnsi="Times New Roman"/>
          <w:b/>
          <w:color w:themeColor="text1" w:val="000000"/>
          <w:sz w:val="24"/>
        </w:rPr>
      </w:pPr>
      <w:r>
        <w:rPr>
          <w:rFonts w:ascii="Times New Roman" w:hAnsi="Times New Roman"/>
          <w:b/>
          <w:color w:themeColor="text1" w:val="000000"/>
          <w:sz w:val="24"/>
        </w:rPr>
        <w:t>Выводы</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Подводя итоги анализа кадрового обеспечения системы образования Пермского муниципального округа в 2025–2026 учебном году, можно констатировать, что существующая система работы с кадрами функционирует стабильно и планомерно. Кадровый состав демонстрирует устойчивый рост численности педагогических работников, методическое пространство охватывает все категории педагогов, успешно реализуются приоритетные проекты, конкурсное движение и наградная кампания имеют положительную динамику, система курсовой подготовки в целом отвечает актуальным профессиональным запросам, а результаты аттестации свидетельствуют о профессиональном росте значительной части педагогических кадров.</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Вместе с тем анализ позволяет выделить ряд направлений, требующих принятия управленческих решений. Обращает на себя внимание увеличение числа отрицательных экспертных заключений при аттестации (с 18 до 27 случаев за год, преимущественно по первой категории в школах), что может быть связано с недостаточным уровнем методического сопровождения педагогов при подготовке аттестационных материалов. В сфере кадрового обеспечения дошкольных учреждений, где сосредоточено большинство вакансий, необходимо учитывать, что это во многом обусловлено открытием новых детских садов, что является плановым процессом развития сети; вместе с тем требуется усиление работы по привлечению и закреплению кадров в данных учреждениях. Сохраняется дифференциация между образовательными организациями по уровню вовлеченности в методическую работу, результативности участия в конкурсах и доле аттестованных педагогов, что указывает на необходимость адресной поддержки учреждений с более низкими показателями.</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В части курсовой подготовки выявлены дефициты по отдельным направлениям: резкое сокращение числа педагогов, прошедших обучение по работе с детьми из семей мигрантов (с 60 до 5 человек) и по противодействию терроризму и экстремизму (с 34 до 20), при сохранении актуальности данных тем, требует принятия дополнительных мер. Также отмечается снижение доли педагогов дошкольных учреждений, проходящих курсы повышения квалификации (с 369 до 296 человек, –19,8%), что при общем росте числа педагогов в системе дошкольного образования нуждается в отдельном анализе и корректировке планирования. Вопрос формирования компетенций педагогов по работе с одаренными детьми и обеспечения преемственности между дошкольным и начальным уровнями образования в данном направлении сохраняет свою актуальность и требует дальнейшей методической проработки.</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Наградная кампания демонстрирует положительную динамику по числу ведомственных наград РФ и муниципальных поощрений, однако сохраняется недостаточное представительство педагогов дополнительного образования, педагогов-психологов, учителей-логопедов и учителей-дефектологов, что требует целенаправленной работы по выявлению и поощрению указанных категорий. Конкурсное движение характеризуется значительным количественным ростом на всех уровнях, но при этом сохраняется неравномерность результативности между учреждениями, а также выявлена проблема единичного представительства по ряду предметных областей (физика, начальные классы, иностранные языки).</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t>Таким образом, при общем позитивном фоне система кадровой работы нуждается в усилении адресности, дифференцированном подходе к учреждениям с различными стартовыми возможностями, расширении охвата методическими мероприятиями и курсовой подготовкой, а также в совершенствовании системы сопровождения аттестационных процедур.</w:t>
      </w:r>
    </w:p>
    <w:p>
      <w:pPr>
        <w:pStyle w:val="Normal"/>
        <w:spacing w:lineRule="auto" w:line="240" w:before="0" w:after="0"/>
        <w:ind w:firstLine="709"/>
        <w:jc w:val="both"/>
        <w:rPr>
          <w:rFonts w:ascii="Times New Roman" w:hAnsi="Times New Roman"/>
          <w:color w:themeColor="text1" w:val="000000"/>
          <w:sz w:val="24"/>
        </w:rPr>
      </w:pPr>
      <w:r>
        <w:rPr>
          <w:rFonts w:ascii="Times New Roman" w:hAnsi="Times New Roman"/>
          <w:color w:themeColor="text1" w:val="000000"/>
          <w:sz w:val="24"/>
        </w:rPr>
      </w:r>
    </w:p>
    <w:p>
      <w:pPr>
        <w:pStyle w:val="Normal"/>
        <w:spacing w:lineRule="auto" w:line="240" w:before="0" w:after="0"/>
        <w:jc w:val="center"/>
        <w:rPr>
          <w:rFonts w:ascii="Times New Roman" w:hAnsi="Times New Roman"/>
          <w:b/>
          <w:color w:themeColor="text1" w:val="000000"/>
          <w:sz w:val="24"/>
        </w:rPr>
      </w:pPr>
      <w:r>
        <w:rPr>
          <w:rFonts w:ascii="Times New Roman" w:hAnsi="Times New Roman"/>
          <w:b/>
          <w:color w:themeColor="text1" w:val="000000"/>
          <w:sz w:val="24"/>
        </w:rPr>
        <w:t>Задачи на 2026-2027 учебный год</w:t>
      </w:r>
    </w:p>
    <w:p>
      <w:pPr>
        <w:pStyle w:val="ListParagraph"/>
        <w:numPr>
          <w:ilvl w:val="0"/>
          <w:numId w:val="2"/>
        </w:numPr>
        <w:spacing w:lineRule="auto" w:line="240" w:before="0" w:after="0"/>
        <w:ind w:hanging="0" w:left="0"/>
        <w:contextualSpacing/>
        <w:jc w:val="both"/>
        <w:rPr>
          <w:rFonts w:ascii="Times New Roman" w:hAnsi="Times New Roman"/>
          <w:color w:themeColor="text1" w:val="000000"/>
          <w:sz w:val="24"/>
        </w:rPr>
      </w:pPr>
      <w:r>
        <w:rPr>
          <w:rFonts w:ascii="Times New Roman" w:hAnsi="Times New Roman"/>
          <w:color w:themeColor="text1" w:val="000000"/>
          <w:sz w:val="24"/>
        </w:rPr>
        <w:t>Продолжить практику консультационной поддержки педагогических работников при прохождении аттестационных процедур, в том числе через проведение регулярных консультаций для заместителей руководителей и специалистов, ответственных за организацию аттестации в образовательных организациях, а также через освещение актуальных вопросов аттестации в рамках работы окружных методических объединений; взять на контроль случаи получения отрицательных экспертных заключений с последующим анализом причин и выработкой адресных рекомендаций для конкретных учреждений.</w:t>
      </w:r>
    </w:p>
    <w:p>
      <w:pPr>
        <w:pStyle w:val="ListParagraph"/>
        <w:numPr>
          <w:ilvl w:val="0"/>
          <w:numId w:val="2"/>
        </w:numPr>
        <w:spacing w:lineRule="auto" w:line="240" w:before="0" w:after="0"/>
        <w:ind w:hanging="0" w:left="0"/>
        <w:contextualSpacing/>
        <w:jc w:val="both"/>
        <w:rPr>
          <w:rFonts w:ascii="Times New Roman" w:hAnsi="Times New Roman"/>
          <w:color w:themeColor="text1" w:val="000000"/>
          <w:sz w:val="24"/>
        </w:rPr>
      </w:pPr>
      <w:r>
        <w:rPr>
          <w:rFonts w:ascii="Times New Roman" w:hAnsi="Times New Roman"/>
          <w:color w:themeColor="text1" w:val="000000"/>
          <w:sz w:val="24"/>
        </w:rPr>
        <w:t>Скорректировать планирование курсовой подготовки на предстоящий учебный год, включив в число приоритетных направлений: социально-языковую адаптацию и культурную интеграцию детей с миграционной историей; противодействие идеологии терроризма и экстремизма; профилактику профессионального выгорания педагогов; а также практико-ориентированные программы для педагогов дошкольных учреждений с целью увеличения охвата курсовой подготовкой данной категории.</w:t>
      </w:r>
    </w:p>
    <w:p>
      <w:pPr>
        <w:pStyle w:val="ListParagraph"/>
        <w:numPr>
          <w:ilvl w:val="0"/>
          <w:numId w:val="2"/>
        </w:numPr>
        <w:spacing w:lineRule="auto" w:line="240" w:before="0" w:after="0"/>
        <w:ind w:hanging="0" w:left="0"/>
        <w:contextualSpacing/>
        <w:jc w:val="both"/>
        <w:rPr>
          <w:rFonts w:ascii="Times New Roman" w:hAnsi="Times New Roman"/>
          <w:color w:themeColor="text1" w:val="000000"/>
          <w:sz w:val="24"/>
        </w:rPr>
      </w:pPr>
      <w:r>
        <w:rPr>
          <w:rFonts w:ascii="Times New Roman" w:hAnsi="Times New Roman"/>
          <w:color w:themeColor="text1" w:val="000000"/>
          <w:sz w:val="24"/>
        </w:rPr>
        <w:t>Обеспечить методическое сопровождение по работе с одаренными детьми и вопросам преемственности дошкольного и начального уровней общего образования по сопровождению одаренных детей.</w:t>
      </w:r>
    </w:p>
    <w:p>
      <w:pPr>
        <w:pStyle w:val="ListParagraph"/>
        <w:numPr>
          <w:ilvl w:val="0"/>
          <w:numId w:val="2"/>
        </w:numPr>
        <w:spacing w:lineRule="auto" w:line="240" w:before="0" w:after="0"/>
        <w:ind w:hanging="0" w:left="0"/>
        <w:contextualSpacing/>
        <w:jc w:val="both"/>
        <w:rPr>
          <w:rFonts w:ascii="Times New Roman" w:hAnsi="Times New Roman"/>
          <w:color w:themeColor="text1" w:val="000000"/>
          <w:sz w:val="24"/>
        </w:rPr>
      </w:pPr>
      <w:r>
        <w:rPr>
          <w:rFonts w:ascii="Times New Roman" w:hAnsi="Times New Roman"/>
          <w:color w:themeColor="text1" w:val="000000"/>
          <w:sz w:val="24"/>
        </w:rPr>
        <w:t>Усилить работу по привлечению и закреплению педагогических кадров в дошкольных учреждениях в связи с открытием новых детских садов, в том числе через активизацию взаимодействия с педагогическими колледжами, организацию профориентационных мероприятий и совершенствование системы наставничества.</w:t>
      </w:r>
    </w:p>
    <w:p>
      <w:pPr>
        <w:pStyle w:val="ListParagraph"/>
        <w:numPr>
          <w:ilvl w:val="0"/>
          <w:numId w:val="2"/>
        </w:numPr>
        <w:spacing w:lineRule="auto" w:line="240" w:before="0" w:after="0"/>
        <w:ind w:hanging="0" w:left="0"/>
        <w:contextualSpacing/>
        <w:jc w:val="both"/>
        <w:rPr>
          <w:rFonts w:ascii="Times New Roman" w:hAnsi="Times New Roman"/>
          <w:color w:themeColor="text1" w:val="000000"/>
          <w:sz w:val="24"/>
        </w:rPr>
      </w:pPr>
      <w:r>
        <w:rPr>
          <w:rFonts w:ascii="Times New Roman" w:hAnsi="Times New Roman"/>
          <w:color w:themeColor="text1" w:val="000000"/>
          <w:sz w:val="24"/>
        </w:rPr>
        <w:t xml:space="preserve">Продолжить работу по привлечению и удержанию молодых специалистов, усилив методическую составляющую деятельности Ассоциации молодых педагогов за счет включения практических мастер-классов и семинаров-практикумов по актуальным вопросам педагогической деятельности. </w:t>
      </w:r>
    </w:p>
    <w:p>
      <w:pPr>
        <w:pStyle w:val="ListParagraph"/>
        <w:numPr>
          <w:ilvl w:val="0"/>
          <w:numId w:val="2"/>
        </w:numPr>
        <w:spacing w:lineRule="auto" w:line="240" w:before="0" w:after="0"/>
        <w:ind w:hanging="0" w:left="0"/>
        <w:contextualSpacing/>
        <w:jc w:val="both"/>
        <w:rPr>
          <w:rFonts w:ascii="Times New Roman" w:hAnsi="Times New Roman"/>
          <w:color w:themeColor="text1" w:val="000000"/>
          <w:sz w:val="24"/>
        </w:rPr>
      </w:pPr>
      <w:r>
        <w:rPr>
          <w:rFonts w:ascii="Times New Roman" w:hAnsi="Times New Roman"/>
          <w:color w:themeColor="text1" w:val="000000"/>
          <w:sz w:val="24"/>
        </w:rPr>
        <w:t>Усилить работу с образовательными организациями по выстраиванию внутренней системы сопровождения педагогов в рамках конкурсного движения, а также активизировать работу по вовлечению в конкурсное и наградное движение педагогов дополнительного образования, педагогов-психологов, учителей-логопедов и учителей-дефектологов.</w:t>
      </w:r>
    </w:p>
    <w:sectPr>
      <w:footerReference w:type="even" r:id="rId2"/>
      <w:footerReference w:type="default" r:id="rId3"/>
      <w:footerReference w:type="first" r:id="rId4"/>
      <w:type w:val="nextPage"/>
      <w:pgSz w:w="11906" w:h="16838"/>
      <w:pgMar w:left="1701" w:right="850" w:gutter="0" w:header="0" w:top="1134" w:footer="708" w:bottom="1134"/>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XO Thames">
    <w:charset w:val="01"/>
    <w:family w:val="auto"/>
    <w:pitch w:val="variable"/>
  </w:font>
  <w:font w:name="Tahoma">
    <w:charset w:val="01"/>
    <w:family w:val="swiss"/>
    <w:pitch w:val="variable"/>
  </w:font>
  <w:font w:name="Georgia">
    <w:charset w:val="01"/>
    <w:family w:val="roman"/>
    <w:pitch w:val="variable"/>
  </w:font>
  <w:font w:name="Open Sans">
    <w:charset w:val="01"/>
    <w:family w:val="auto"/>
    <w:pitch w:val="variable"/>
  </w:font>
  <w:font w:name="Times New Roman">
    <w:charset w:val="01"/>
    <w:family w:val="roman"/>
    <w:pitch w:val="variable"/>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7" w:leader="none"/>
        <w:tab w:val="right" w:pos="9355" w:leader="none"/>
      </w:tabs>
      <w:spacing w:lineRule="auto" w:line="240" w:before="0" w:after="0"/>
      <w:jc w:val="right"/>
      <w:rPr/>
    </w:pPr>
    <w:r>
      <w:rPr/>
      <w:fldChar w:fldCharType="begin"/>
    </w:r>
    <w:r>
      <w:rPr/>
      <w:instrText xml:space="preserve"> PAGE </w:instrText>
    </w:r>
    <w:r>
      <w:rPr/>
      <w:fldChar w:fldCharType="separate"/>
    </w:r>
    <w:r>
      <w:rPr/>
      <w:t>33</w:t>
    </w:r>
    <w:r>
      <w:rPr/>
      <w:fldChar w:fldCharType="end"/>
    </w:r>
  </w:p>
  <w:p>
    <w:pPr>
      <w:pStyle w:val="Normal"/>
      <w:tabs>
        <w:tab w:val="clear" w:pos="720"/>
        <w:tab w:val="center" w:pos="4677" w:leader="none"/>
        <w:tab w:val="right" w:pos="9355" w:leader="none"/>
      </w:tabs>
      <w:spacing w:lineRule="auto" w:line="240" w:before="0" w:after="0"/>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20"/>
        <w:tab w:val="center" w:pos="4677" w:leader="none"/>
        <w:tab w:val="right" w:pos="9355" w:leader="none"/>
      </w:tabs>
      <w:spacing w:lineRule="auto" w:line="240" w:before="0" w:after="0"/>
      <w:jc w:val="right"/>
      <w:rPr/>
    </w:pPr>
    <w:r>
      <w:rPr/>
      <w:fldChar w:fldCharType="begin"/>
    </w:r>
    <w:r>
      <w:rPr/>
      <w:instrText xml:space="preserve"> PAGE </w:instrText>
    </w:r>
    <w:r>
      <w:rPr/>
      <w:fldChar w:fldCharType="separate"/>
    </w:r>
    <w:r>
      <w:rPr/>
      <w:t>33</w:t>
    </w:r>
    <w:r>
      <w:rPr/>
      <w:fldChar w:fldCharType="end"/>
    </w:r>
  </w:p>
  <w:p>
    <w:pPr>
      <w:pStyle w:val="Normal"/>
      <w:tabs>
        <w:tab w:val="clear" w:pos="720"/>
        <w:tab w:val="center" w:pos="4677" w:leader="none"/>
        <w:tab w:val="right" w:pos="9355" w:leader="none"/>
      </w:tabs>
      <w:spacing w:lineRule="auto" w:line="240" w:before="0" w:after="0"/>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720" w:hanging="360"/>
      </w:pPr>
      <w:rPr>
        <w:rFonts w:ascii="Calibri" w:hAnsi="Calibri" w:cs="Calibri" w:hint="default"/>
      </w:rPr>
    </w:lvl>
    <w:lvl w:ilvl="1">
      <w:start w:val="0"/>
      <w:numFmt w:val="bullet"/>
      <w:lvlText w:val="o"/>
      <w:lvlJc w:val="left"/>
      <w:pPr>
        <w:tabs>
          <w:tab w:val="num" w:pos="0"/>
        </w:tabs>
        <w:ind w:left="1440" w:hanging="360"/>
      </w:pPr>
      <w:rPr>
        <w:rFonts w:ascii="Courier New" w:hAnsi="Courier New" w:cs="Courier New" w:hint="default"/>
      </w:rPr>
    </w:lvl>
    <w:lvl w:ilvl="2">
      <w:start w:val="0"/>
      <w:numFmt w:val="bullet"/>
      <w:lvlText w:val=""/>
      <w:lvlJc w:val="left"/>
      <w:pPr>
        <w:tabs>
          <w:tab w:val="num" w:pos="0"/>
        </w:tabs>
        <w:ind w:left="2160" w:hanging="360"/>
      </w:pPr>
      <w:rPr>
        <w:rFonts w:ascii="Wingdings" w:hAnsi="Wingdings" w:cs="Wingdings" w:hint="default"/>
      </w:rPr>
    </w:lvl>
    <w:lvl w:ilvl="3">
      <w:start w:val="0"/>
      <w:numFmt w:val="bullet"/>
      <w:lvlText w:val="-"/>
      <w:lvlJc w:val="left"/>
      <w:pPr>
        <w:tabs>
          <w:tab w:val="num" w:pos="0"/>
        </w:tabs>
        <w:ind w:left="2880" w:hanging="360"/>
      </w:pPr>
      <w:rPr>
        <w:rFonts w:ascii="Calibri" w:hAnsi="Calibri" w:cs="Calibri" w:hint="default"/>
      </w:rPr>
    </w:lvl>
    <w:lvl w:ilvl="4">
      <w:start w:val="0"/>
      <w:numFmt w:val="bullet"/>
      <w:lvlText w:val="o"/>
      <w:lvlJc w:val="left"/>
      <w:pPr>
        <w:tabs>
          <w:tab w:val="num" w:pos="0"/>
        </w:tabs>
        <w:ind w:left="3600" w:hanging="360"/>
      </w:pPr>
      <w:rPr>
        <w:rFonts w:ascii="Courier New" w:hAnsi="Courier New" w:cs="Courier New" w:hint="default"/>
      </w:rPr>
    </w:lvl>
    <w:lvl w:ilvl="5">
      <w:start w:val="0"/>
      <w:numFmt w:val="bullet"/>
      <w:lvlText w:val=""/>
      <w:lvlJc w:val="left"/>
      <w:pPr>
        <w:tabs>
          <w:tab w:val="num" w:pos="0"/>
        </w:tabs>
        <w:ind w:left="4320" w:hanging="360"/>
      </w:pPr>
      <w:rPr>
        <w:rFonts w:ascii="Wingdings" w:hAnsi="Wingdings" w:cs="Wingdings" w:hint="default"/>
      </w:rPr>
    </w:lvl>
    <w:lvl w:ilvl="6">
      <w:start w:val="0"/>
      <w:numFmt w:val="bullet"/>
      <w:lvlText w:val="-"/>
      <w:lvlJc w:val="left"/>
      <w:pPr>
        <w:tabs>
          <w:tab w:val="num" w:pos="0"/>
        </w:tabs>
        <w:ind w:left="5040" w:hanging="360"/>
      </w:pPr>
      <w:rPr>
        <w:rFonts w:ascii="Calibri" w:hAnsi="Calibri" w:cs="Calibri" w:hint="default"/>
      </w:rPr>
    </w:lvl>
    <w:lvl w:ilvl="7">
      <w:start w:val="0"/>
      <w:numFmt w:val="bullet"/>
      <w:lvlText w:val="o"/>
      <w:lvlJc w:val="left"/>
      <w:pPr>
        <w:tabs>
          <w:tab w:val="num" w:pos="0"/>
        </w:tabs>
        <w:ind w:left="5760" w:hanging="360"/>
      </w:pPr>
      <w:rPr>
        <w:rFonts w:ascii="Courier New" w:hAnsi="Courier New" w:cs="Courier New" w:hint="default"/>
      </w:rPr>
    </w:lvl>
    <w:lvl w:ilvl="8">
      <w:start w:val="0"/>
      <w:numFmt w:val="bullet"/>
      <w:lvlText w:val=""/>
      <w:lvlJc w:val="left"/>
      <w:pPr>
        <w:tabs>
          <w:tab w:val="num" w:pos="0"/>
        </w:tabs>
        <w:ind w:left="6480" w:hanging="360"/>
      </w:pPr>
      <w:rPr>
        <w:rFonts w:ascii="Wingdings" w:hAnsi="Wingdings" w:cs="Wingdings" w:hint="default"/>
      </w:rPr>
    </w:lvl>
  </w:abstractNum>
  <w:abstractNum w:abstractNumId="2">
    <w:lvl w:ilvl="0">
      <w:start w:val="1"/>
      <w:numFmt w:val="decimal"/>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6"/>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ahoma" w:cs="Droid Sans"/>
        <w:color w:val="000000"/>
        <w:sz w:val="22"/>
        <w:lang w:val="ru-RU"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semiHidden="0" w:unhideWhenUsed="0" w:qFormat="1"/>
    <w:lsdException w:name="heading 3" w:uiPriority="9" w:semiHidden="0" w:unhideWhenUsed="0" w:qFormat="1"/>
    <w:lsdException w:name="heading 4" w:uiPriority="9" w:semiHidden="0" w:unhideWhenUsed="0" w:qFormat="1"/>
    <w:lsdException w:name="heading 5" w:uiPriority="9" w:semiHidden="0" w:unhideWhenUsed="0" w:qFormat="1"/>
    <w:lsdException w:name="heading 6" w:uiPriority="9" w:semiHidden="0" w:unhideWhenUsed="0" w:qFormat="1"/>
    <w:lsdException w:name="heading 7" w:uiPriority="9" w:qFormat="1"/>
    <w:lsdException w:name="heading 8" w:uiPriority="9" w:qFormat="1"/>
    <w:lsdException w:name="heading 9" w:uiPriority="9" w:qFormat="1"/>
    <w:lsdException w:name="toc 1" w:uiPriority="39" w:semiHidden="0" w:unhideWhenUsed="0"/>
    <w:lsdException w:name="toc 2" w:uiPriority="39" w:semiHidden="0" w:unhideWhenUsed="0"/>
    <w:lsdException w:name="toc 3" w:uiPriority="39" w:semiHidden="0" w:unhideWhenUsed="0"/>
    <w:lsdException w:name="toc 4" w:uiPriority="39" w:semiHidden="0" w:unhideWhenUsed="0"/>
    <w:lsdException w:name="toc 5" w:uiPriority="39" w:semiHidden="0" w:unhideWhenUsed="0"/>
    <w:lsdException w:name="toc 6" w:uiPriority="39" w:semiHidden="0" w:unhideWhenUsed="0"/>
    <w:lsdException w:name="toc 7" w:uiPriority="39" w:semiHidden="0" w:unhideWhenUsed="0"/>
    <w:lsdException w:name="toc 8" w:uiPriority="39" w:semiHidden="0" w:unhideWhenUsed="0"/>
    <w:lsdException w:name="toc 9" w:uiPriority="39" w:semiHidden="0" w:unhideWhenUsed="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Hyperlink" w:semiHidden="0" w:unhideWhenUsed="0"/>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lineRule="auto" w:line="264" w:before="0" w:after="160"/>
      <w:jc w:val="left"/>
    </w:pPr>
    <w:rPr>
      <w:rFonts w:ascii="Calibri" w:hAnsi="Calibri" w:eastAsia="Tahoma" w:cs="Droid Sans"/>
      <w:color w:val="000000"/>
      <w:kern w:val="0"/>
      <w:sz w:val="22"/>
      <w:szCs w:val="20"/>
      <w:lang w:val="ru-RU" w:eastAsia="zh-CN" w:bidi="hi-IN"/>
    </w:rPr>
  </w:style>
  <w:style w:type="paragraph" w:styleId="Heading1">
    <w:name w:val="heading 1"/>
    <w:basedOn w:val="normal11"/>
    <w:next w:val="normal11"/>
    <w:uiPriority w:val="9"/>
    <w:qFormat/>
    <w:pPr>
      <w:keepNext w:val="true"/>
      <w:keepLines/>
      <w:spacing w:before="480" w:after="120"/>
      <w:outlineLvl w:val="0"/>
    </w:pPr>
    <w:rPr>
      <w:b/>
      <w:sz w:val="48"/>
    </w:rPr>
  </w:style>
  <w:style w:type="paragraph" w:styleId="Heading2">
    <w:name w:val="heading 2"/>
    <w:basedOn w:val="normal11"/>
    <w:next w:val="normal11"/>
    <w:uiPriority w:val="9"/>
    <w:qFormat/>
    <w:pPr>
      <w:keepNext w:val="true"/>
      <w:keepLines/>
      <w:spacing w:before="360" w:after="80"/>
      <w:outlineLvl w:val="1"/>
    </w:pPr>
    <w:rPr>
      <w:b/>
      <w:sz w:val="36"/>
    </w:rPr>
  </w:style>
  <w:style w:type="paragraph" w:styleId="Heading3">
    <w:name w:val="heading 3"/>
    <w:basedOn w:val="normal11"/>
    <w:next w:val="normal11"/>
    <w:uiPriority w:val="9"/>
    <w:qFormat/>
    <w:pPr>
      <w:keepNext w:val="true"/>
      <w:keepLines/>
      <w:spacing w:before="280" w:after="80"/>
      <w:outlineLvl w:val="2"/>
    </w:pPr>
    <w:rPr>
      <w:b/>
      <w:sz w:val="28"/>
    </w:rPr>
  </w:style>
  <w:style w:type="paragraph" w:styleId="Heading4">
    <w:name w:val="heading 4"/>
    <w:basedOn w:val="normal11"/>
    <w:next w:val="normal11"/>
    <w:uiPriority w:val="9"/>
    <w:qFormat/>
    <w:pPr>
      <w:keepNext w:val="true"/>
      <w:keepLines/>
      <w:spacing w:before="240" w:after="40"/>
      <w:outlineLvl w:val="3"/>
    </w:pPr>
    <w:rPr>
      <w:b/>
      <w:sz w:val="24"/>
    </w:rPr>
  </w:style>
  <w:style w:type="paragraph" w:styleId="Heading5">
    <w:name w:val="heading 5"/>
    <w:basedOn w:val="normal11"/>
    <w:next w:val="normal11"/>
    <w:uiPriority w:val="9"/>
    <w:qFormat/>
    <w:pPr>
      <w:keepNext w:val="true"/>
      <w:keepLines/>
      <w:spacing w:before="220" w:after="40"/>
      <w:outlineLvl w:val="4"/>
    </w:pPr>
    <w:rPr>
      <w:b/>
    </w:rPr>
  </w:style>
  <w:style w:type="paragraph" w:styleId="Heading6">
    <w:name w:val="heading 6"/>
    <w:basedOn w:val="normal11"/>
    <w:next w:val="normal11"/>
    <w:uiPriority w:val="9"/>
    <w:qFormat/>
    <w:pPr>
      <w:keepNext w:val="true"/>
      <w:keepLines/>
      <w:spacing w:before="200" w:after="40"/>
      <w:outlineLvl w:val="5"/>
    </w:pPr>
    <w:rPr>
      <w:b/>
      <w:sz w:val="20"/>
    </w:rPr>
  </w:style>
  <w:style w:type="character" w:styleId="DefaultParagraphFont" w:default="1">
    <w:name w:val="Default Paragraph Font"/>
    <w:uiPriority w:val="1"/>
    <w:semiHidden/>
    <w:unhideWhenUsed/>
    <w:qFormat/>
    <w:rPr/>
  </w:style>
  <w:style w:type="character" w:styleId="Contents2" w:customStyle="1">
    <w:name w:val="Contents 2"/>
    <w:qFormat/>
    <w:rPr>
      <w:rFonts w:ascii="XO Thames" w:hAnsi="XO Thames"/>
      <w:sz w:val="28"/>
    </w:rPr>
  </w:style>
  <w:style w:type="character" w:styleId="Contents4" w:customStyle="1">
    <w:name w:val="Contents 4"/>
    <w:qFormat/>
    <w:rPr>
      <w:rFonts w:ascii="XO Thames" w:hAnsi="XO Thames"/>
      <w:sz w:val="28"/>
    </w:rPr>
  </w:style>
  <w:style w:type="character" w:styleId="Contents6" w:customStyle="1">
    <w:name w:val="Contents 6"/>
    <w:qFormat/>
    <w:rPr>
      <w:rFonts w:ascii="XO Thames" w:hAnsi="XO Thames"/>
      <w:sz w:val="28"/>
    </w:rPr>
  </w:style>
  <w:style w:type="character" w:styleId="Contents7" w:customStyle="1">
    <w:name w:val="Contents 7"/>
    <w:qFormat/>
    <w:rPr>
      <w:rFonts w:ascii="XO Thames" w:hAnsi="XO Thames"/>
      <w:sz w:val="28"/>
    </w:rPr>
  </w:style>
  <w:style w:type="character" w:styleId="TableHeading" w:customStyle="1">
    <w:name w:val="Table Heading"/>
    <w:basedOn w:val="TableContents"/>
    <w:qFormat/>
    <w:rPr>
      <w:b/>
    </w:rPr>
  </w:style>
  <w:style w:type="character" w:styleId="normal1" w:customStyle="1">
    <w:name w:val="normal1"/>
    <w:link w:val="normal11"/>
    <w:qFormat/>
    <w:rPr>
      <w:rFonts w:ascii="Calibri" w:hAnsi="Calibri"/>
      <w:sz w:val="22"/>
    </w:rPr>
  </w:style>
  <w:style w:type="character" w:styleId="Endnote" w:customStyle="1">
    <w:name w:val="Endnote"/>
    <w:link w:val="Endnote1"/>
    <w:qFormat/>
    <w:rPr>
      <w:rFonts w:ascii="XO Thames" w:hAnsi="XO Thames"/>
      <w:sz w:val="22"/>
    </w:rPr>
  </w:style>
  <w:style w:type="character" w:styleId="Heading31" w:customStyle="1">
    <w:name w:val="Heading 31"/>
    <w:basedOn w:val="normal1"/>
    <w:qFormat/>
    <w:rPr>
      <w:rFonts w:ascii="Calibri" w:hAnsi="Calibri"/>
      <w:b/>
      <w:sz w:val="28"/>
    </w:rPr>
  </w:style>
  <w:style w:type="character" w:styleId="Index" w:customStyle="1">
    <w:name w:val="Index"/>
    <w:qFormat/>
    <w:rPr/>
  </w:style>
  <w:style w:type="character" w:styleId="1" w:customStyle="1">
    <w:name w:val="Текст выноски1"/>
    <w:link w:val="BalloonText1"/>
    <w:qFormat/>
    <w:rPr>
      <w:rFonts w:ascii="Tahoma" w:hAnsi="Tahoma"/>
      <w:sz w:val="16"/>
    </w:rPr>
  </w:style>
  <w:style w:type="character" w:styleId="Textbody" w:customStyle="1">
    <w:name w:val="Text body"/>
    <w:link w:val="Textbody1"/>
    <w:qFormat/>
    <w:rPr/>
  </w:style>
  <w:style w:type="character" w:styleId="Contents3" w:customStyle="1">
    <w:name w:val="Contents 3"/>
    <w:qFormat/>
    <w:rPr>
      <w:rFonts w:ascii="XO Thames" w:hAnsi="XO Thames"/>
      <w:sz w:val="28"/>
    </w:rPr>
  </w:style>
  <w:style w:type="character" w:styleId="StrongEmphasis" w:customStyle="1">
    <w:name w:val="Strong Emphasis"/>
    <w:link w:val="StrongEmphasis1"/>
    <w:qFormat/>
    <w:rPr>
      <w:b/>
    </w:rPr>
  </w:style>
  <w:style w:type="character" w:styleId="Style8" w:customStyle="1">
    <w:name w:val="Текст выноски Знак"/>
    <w:basedOn w:val="DefaultParagraphFont"/>
    <w:link w:val="11"/>
    <w:qFormat/>
    <w:rPr>
      <w:rFonts w:ascii="Tahoma" w:hAnsi="Tahoma"/>
      <w:sz w:val="16"/>
    </w:rPr>
  </w:style>
  <w:style w:type="character" w:styleId="Heading51" w:customStyle="1">
    <w:name w:val="Heading 51"/>
    <w:basedOn w:val="normal1"/>
    <w:qFormat/>
    <w:rPr>
      <w:rFonts w:ascii="Calibri" w:hAnsi="Calibri"/>
      <w:b/>
      <w:sz w:val="22"/>
    </w:rPr>
  </w:style>
  <w:style w:type="character" w:styleId="Heading11" w:customStyle="1">
    <w:name w:val="Heading 11"/>
    <w:basedOn w:val="normal1"/>
    <w:qFormat/>
    <w:rPr>
      <w:rFonts w:ascii="Calibri" w:hAnsi="Calibri"/>
      <w:b/>
      <w:sz w:val="48"/>
    </w:rPr>
  </w:style>
  <w:style w:type="character" w:styleId="Caption1" w:customStyle="1">
    <w:name w:val="Caption1"/>
    <w:qFormat/>
    <w:rPr>
      <w:i/>
      <w:sz w:val="24"/>
    </w:rPr>
  </w:style>
  <w:style w:type="character" w:styleId="Hyperlink">
    <w:name w:val="Hyperlink"/>
    <w:rPr>
      <w:color w:val="000080"/>
      <w:u w:val="single" w:color="000080"/>
    </w:rPr>
  </w:style>
  <w:style w:type="character" w:styleId="Footnote" w:customStyle="1">
    <w:name w:val="Footnote"/>
    <w:link w:val="Footnote1"/>
    <w:qFormat/>
    <w:rPr>
      <w:rFonts w:ascii="XO Thames" w:hAnsi="XO Thames"/>
      <w:sz w:val="22"/>
    </w:rPr>
  </w:style>
  <w:style w:type="character" w:styleId="Contents1" w:customStyle="1">
    <w:name w:val="Contents 1"/>
    <w:qFormat/>
    <w:rPr>
      <w:rFonts w:ascii="XO Thames" w:hAnsi="XO Thames"/>
      <w:b/>
      <w:sz w:val="28"/>
    </w:rPr>
  </w:style>
  <w:style w:type="character" w:styleId="HeaderandFooter" w:customStyle="1">
    <w:name w:val="Header and Footer"/>
    <w:link w:val="HeaderandFooter1"/>
    <w:qFormat/>
    <w:rPr/>
  </w:style>
  <w:style w:type="character" w:styleId="Contents9" w:customStyle="1">
    <w:name w:val="Contents 9"/>
    <w:qFormat/>
    <w:rPr>
      <w:rFonts w:ascii="XO Thames" w:hAnsi="XO Thames"/>
      <w:sz w:val="28"/>
    </w:rPr>
  </w:style>
  <w:style w:type="character" w:styleId="Header1" w:customStyle="1">
    <w:name w:val="Header1"/>
    <w:basedOn w:val="HeaderandFooter"/>
    <w:qFormat/>
    <w:rPr/>
  </w:style>
  <w:style w:type="character" w:styleId="Style9" w:customStyle="1">
    <w:name w:val="Символ нумерации"/>
    <w:qFormat/>
    <w:rPr/>
  </w:style>
  <w:style w:type="character" w:styleId="Contents8" w:customStyle="1">
    <w:name w:val="Contents 8"/>
    <w:qFormat/>
    <w:rPr>
      <w:rFonts w:ascii="XO Thames" w:hAnsi="XO Thames"/>
      <w:sz w:val="28"/>
    </w:rPr>
  </w:style>
  <w:style w:type="character" w:styleId="List1" w:customStyle="1">
    <w:name w:val="List1"/>
    <w:basedOn w:val="Textbody"/>
    <w:qFormat/>
    <w:rPr/>
  </w:style>
  <w:style w:type="character" w:styleId="Footer1" w:customStyle="1">
    <w:name w:val="Footer1"/>
    <w:basedOn w:val="HeaderandFooter"/>
    <w:qFormat/>
    <w:rPr/>
  </w:style>
  <w:style w:type="character" w:styleId="Contents5" w:customStyle="1">
    <w:name w:val="Contents 5"/>
    <w:qFormat/>
    <w:rPr>
      <w:rFonts w:ascii="XO Thames" w:hAnsi="XO Thames"/>
      <w:sz w:val="28"/>
    </w:rPr>
  </w:style>
  <w:style w:type="character" w:styleId="Subtitle1" w:customStyle="1">
    <w:name w:val="Subtitle1"/>
    <w:basedOn w:val="normal1"/>
    <w:qFormat/>
    <w:rPr>
      <w:rFonts w:ascii="Georgia" w:hAnsi="Georgia"/>
      <w:i/>
      <w:color w:val="666666"/>
      <w:sz w:val="48"/>
    </w:rPr>
  </w:style>
  <w:style w:type="character" w:styleId="TableContents" w:customStyle="1">
    <w:name w:val="Table Contents"/>
    <w:qFormat/>
    <w:rPr/>
  </w:style>
  <w:style w:type="character" w:styleId="Title1" w:customStyle="1">
    <w:name w:val="Title1"/>
    <w:basedOn w:val="normal1"/>
    <w:qFormat/>
    <w:rPr>
      <w:rFonts w:ascii="Calibri" w:hAnsi="Calibri"/>
      <w:b/>
      <w:sz w:val="72"/>
    </w:rPr>
  </w:style>
  <w:style w:type="character" w:styleId="Heading41" w:customStyle="1">
    <w:name w:val="Heading 41"/>
    <w:basedOn w:val="normal1"/>
    <w:qFormat/>
    <w:rPr>
      <w:rFonts w:ascii="Calibri" w:hAnsi="Calibri"/>
      <w:b/>
      <w:sz w:val="24"/>
    </w:rPr>
  </w:style>
  <w:style w:type="character" w:styleId="Heading21" w:customStyle="1">
    <w:name w:val="Heading 21"/>
    <w:basedOn w:val="normal1"/>
    <w:qFormat/>
    <w:rPr>
      <w:rFonts w:ascii="Calibri" w:hAnsi="Calibri"/>
      <w:b/>
      <w:sz w:val="36"/>
    </w:rPr>
  </w:style>
  <w:style w:type="character" w:styleId="Heading61" w:customStyle="1">
    <w:name w:val="Heading 61"/>
    <w:basedOn w:val="normal1"/>
    <w:qFormat/>
    <w:rPr>
      <w:rFonts w:ascii="Calibri" w:hAnsi="Calibri"/>
      <w:b/>
      <w:sz w:val="20"/>
    </w:rPr>
  </w:style>
  <w:style w:type="character" w:styleId="Heading" w:customStyle="1">
    <w:name w:val="Heading"/>
    <w:qFormat/>
    <w:rPr>
      <w:rFonts w:ascii="Open Sans" w:hAnsi="Open Sans"/>
      <w:sz w:val="28"/>
    </w:rPr>
  </w:style>
  <w:style w:type="character" w:styleId="Strong">
    <w:name w:val="Strong"/>
    <w:basedOn w:val="DefaultParagraphFont"/>
    <w:qFormat/>
    <w:rPr>
      <w:b/>
      <w:bCs/>
    </w:rPr>
  </w:style>
  <w:style w:type="character" w:styleId="Emphasis">
    <w:name w:val="Emphasis"/>
    <w:basedOn w:val="DefaultParagraphFont"/>
    <w:uiPriority w:val="20"/>
    <w:qFormat/>
    <w:rsid w:val="005d3487"/>
    <w:rPr>
      <w:i/>
      <w:iCs/>
    </w:rPr>
  </w:style>
  <w:style w:type="paragraph" w:styleId="Style10" w:customStyle="1">
    <w:name w:val="Заголовок"/>
    <w:basedOn w:val="Normal"/>
    <w:next w:val="Normal"/>
    <w:qFormat/>
    <w:pPr>
      <w:keepNext w:val="true"/>
      <w:spacing w:before="240" w:after="120"/>
    </w:pPr>
    <w:rPr>
      <w:rFonts w:ascii="Open Sans" w:hAnsi="Open Sans"/>
      <w:sz w:val="28"/>
    </w:rPr>
  </w:style>
  <w:style w:type="paragraph" w:styleId="BodyText">
    <w:name w:val="Body Text"/>
    <w:basedOn w:val="Normal"/>
    <w:pPr>
      <w:spacing w:lineRule="auto" w:line="276" w:before="0" w:after="140"/>
    </w:pPr>
    <w:rPr/>
  </w:style>
  <w:style w:type="paragraph" w:styleId="List">
    <w:name w:val="List"/>
    <w:basedOn w:val="Textbody1"/>
    <w:next w:val="Textbody1"/>
    <w:pPr/>
    <w:rPr/>
  </w:style>
  <w:style w:type="paragraph" w:styleId="Caption">
    <w:name w:val="caption"/>
    <w:basedOn w:val="Normal"/>
    <w:next w:val="Normal"/>
    <w:qFormat/>
    <w:pPr>
      <w:spacing w:before="120" w:after="120"/>
    </w:pPr>
    <w:rPr>
      <w:i/>
      <w:sz w:val="24"/>
    </w:rPr>
  </w:style>
  <w:style w:type="paragraph" w:styleId="Style11">
    <w:name w:val="Указатель"/>
    <w:basedOn w:val="Normal"/>
    <w:qFormat/>
    <w:pPr>
      <w:suppressLineNumbers/>
    </w:pPr>
    <w:rPr>
      <w:rFonts w:cs="Droid Sans"/>
    </w:rPr>
  </w:style>
  <w:style w:type="paragraph" w:styleId="IndexHeading">
    <w:name w:val="index heading"/>
    <w:basedOn w:val="Normal"/>
    <w:next w:val="Normal"/>
    <w:qFormat/>
    <w:pPr/>
    <w:rPr/>
  </w:style>
  <w:style w:type="paragraph" w:styleId="ListLabel39" w:customStyle="1">
    <w:name w:val="ListLabel 39"/>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0" w:customStyle="1">
    <w:name w:val="ListLabel 40"/>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TOC2">
    <w:name w:val="toc 2"/>
    <w:next w:val="Normal"/>
    <w:uiPriority w:val="39"/>
    <w:pPr>
      <w:widowControl/>
      <w:suppressAutoHyphens w:val="true"/>
      <w:bidi w:val="0"/>
      <w:spacing w:before="0" w:after="0"/>
      <w:ind w:left="200"/>
      <w:jc w:val="left"/>
    </w:pPr>
    <w:rPr>
      <w:rFonts w:ascii="XO Thames" w:hAnsi="XO Thames" w:eastAsia="Tahoma" w:cs="Droid Sans"/>
      <w:color w:val="000000"/>
      <w:kern w:val="0"/>
      <w:sz w:val="28"/>
      <w:szCs w:val="20"/>
      <w:lang w:val="ru-RU" w:eastAsia="zh-CN" w:bidi="hi-IN"/>
    </w:rPr>
  </w:style>
  <w:style w:type="paragraph" w:styleId="TOC4">
    <w:name w:val="toc 4"/>
    <w:next w:val="Normal"/>
    <w:uiPriority w:val="39"/>
    <w:pPr>
      <w:widowControl/>
      <w:suppressAutoHyphens w:val="true"/>
      <w:bidi w:val="0"/>
      <w:spacing w:before="0" w:after="0"/>
      <w:ind w:left="600"/>
      <w:jc w:val="left"/>
    </w:pPr>
    <w:rPr>
      <w:rFonts w:ascii="XO Thames" w:hAnsi="XO Thames" w:eastAsia="Tahoma" w:cs="Droid Sans"/>
      <w:color w:val="000000"/>
      <w:kern w:val="0"/>
      <w:sz w:val="28"/>
      <w:szCs w:val="20"/>
      <w:lang w:val="ru-RU" w:eastAsia="zh-CN" w:bidi="hi-IN"/>
    </w:rPr>
  </w:style>
  <w:style w:type="paragraph" w:styleId="TOC6">
    <w:name w:val="toc 6"/>
    <w:next w:val="Normal"/>
    <w:uiPriority w:val="39"/>
    <w:pPr>
      <w:widowControl/>
      <w:suppressAutoHyphens w:val="true"/>
      <w:bidi w:val="0"/>
      <w:spacing w:before="0" w:after="0"/>
      <w:ind w:left="1000"/>
      <w:jc w:val="left"/>
    </w:pPr>
    <w:rPr>
      <w:rFonts w:ascii="XO Thames" w:hAnsi="XO Thames" w:eastAsia="Tahoma" w:cs="Droid Sans"/>
      <w:color w:val="000000"/>
      <w:kern w:val="0"/>
      <w:sz w:val="28"/>
      <w:szCs w:val="20"/>
      <w:lang w:val="ru-RU" w:eastAsia="zh-CN" w:bidi="hi-IN"/>
    </w:rPr>
  </w:style>
  <w:style w:type="paragraph" w:styleId="TOC7">
    <w:name w:val="toc 7"/>
    <w:next w:val="Normal"/>
    <w:uiPriority w:val="39"/>
    <w:pPr>
      <w:widowControl/>
      <w:suppressAutoHyphens w:val="true"/>
      <w:bidi w:val="0"/>
      <w:spacing w:before="0" w:after="0"/>
      <w:ind w:left="1200"/>
      <w:jc w:val="left"/>
    </w:pPr>
    <w:rPr>
      <w:rFonts w:ascii="XO Thames" w:hAnsi="XO Thames" w:eastAsia="Tahoma" w:cs="Droid Sans"/>
      <w:color w:val="000000"/>
      <w:kern w:val="0"/>
      <w:sz w:val="28"/>
      <w:szCs w:val="20"/>
      <w:lang w:val="ru-RU" w:eastAsia="zh-CN" w:bidi="hi-IN"/>
    </w:rPr>
  </w:style>
  <w:style w:type="paragraph" w:styleId="Style12" w:customStyle="1">
    <w:name w:val="Содержимое таблицы"/>
    <w:basedOn w:val="Normal"/>
    <w:next w:val="Normal"/>
    <w:qFormat/>
    <w:pPr>
      <w:widowControl w:val="false"/>
    </w:pPr>
    <w:rPr/>
  </w:style>
  <w:style w:type="paragraph" w:styleId="Style13" w:customStyle="1">
    <w:name w:val="Заголовок таблицы"/>
    <w:basedOn w:val="Style12"/>
    <w:next w:val="Style12"/>
    <w:qFormat/>
    <w:pPr>
      <w:widowControl/>
      <w:jc w:val="center"/>
    </w:pPr>
    <w:rPr>
      <w:b/>
    </w:rPr>
  </w:style>
  <w:style w:type="paragraph" w:styleId="normal11" w:customStyle="1">
    <w:name w:val="normal11"/>
    <w:link w:val="normal1"/>
    <w:qFormat/>
    <w:pPr>
      <w:widowControl/>
      <w:suppressAutoHyphens w:val="true"/>
      <w:bidi w:val="0"/>
      <w:spacing w:lineRule="auto" w:line="264" w:before="0" w:after="160"/>
      <w:jc w:val="left"/>
    </w:pPr>
    <w:rPr>
      <w:rFonts w:ascii="Calibri" w:hAnsi="Calibri" w:eastAsia="Tahoma" w:cs="Droid Sans"/>
      <w:color w:val="000000"/>
      <w:kern w:val="0"/>
      <w:sz w:val="22"/>
      <w:szCs w:val="20"/>
      <w:lang w:val="ru-RU" w:eastAsia="zh-CN" w:bidi="hi-IN"/>
    </w:rPr>
  </w:style>
  <w:style w:type="paragraph" w:styleId="ListLabel9" w:customStyle="1">
    <w:name w:val="ListLabel 9"/>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4" w:customStyle="1">
    <w:name w:val="ListLabel 14"/>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31" w:customStyle="1">
    <w:name w:val="ListLabel 31"/>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2" w:customStyle="1">
    <w:name w:val="ListLabel 2"/>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33" w:customStyle="1">
    <w:name w:val="ListLabel 33"/>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Endnote1" w:customStyle="1">
    <w:name w:val="Endnote1"/>
    <w:link w:val="Endnote"/>
    <w:qFormat/>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ListLabel38" w:customStyle="1">
    <w:name w:val="ListLabel 38"/>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5" w:customStyle="1">
    <w:name w:val="ListLabel 45"/>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2" w:customStyle="1">
    <w:name w:val="ListLabel 42"/>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4" w:customStyle="1">
    <w:name w:val="ListLabel 44"/>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5" w:customStyle="1">
    <w:name w:val="ListLabel 5"/>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7" w:customStyle="1">
    <w:name w:val="ListLabel 17"/>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29" w:customStyle="1">
    <w:name w:val="ListLabel 29"/>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BalloonText1" w:customStyle="1">
    <w:name w:val="Balloon Text1"/>
    <w:basedOn w:val="Normal"/>
    <w:next w:val="Normal"/>
    <w:link w:val="1"/>
    <w:qFormat/>
    <w:pPr>
      <w:spacing w:lineRule="auto" w:line="240" w:before="0" w:after="0"/>
    </w:pPr>
    <w:rPr>
      <w:rFonts w:ascii="Tahoma" w:hAnsi="Tahoma"/>
      <w:sz w:val="16"/>
    </w:rPr>
  </w:style>
  <w:style w:type="paragraph" w:styleId="ListLabel28" w:customStyle="1">
    <w:name w:val="ListLabel 28"/>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0" w:customStyle="1">
    <w:name w:val="ListLabel 10"/>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Textbody1" w:customStyle="1">
    <w:name w:val="Text body1"/>
    <w:basedOn w:val="Normal"/>
    <w:next w:val="Normal"/>
    <w:link w:val="Textbody"/>
    <w:qFormat/>
    <w:pPr>
      <w:spacing w:lineRule="auto" w:line="276" w:before="0" w:after="140"/>
    </w:pPr>
    <w:rPr/>
  </w:style>
  <w:style w:type="paragraph" w:styleId="ListLabel19" w:customStyle="1">
    <w:name w:val="ListLabel 19"/>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 w:customStyle="1">
    <w:name w:val="ListLabel 1"/>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24" w:customStyle="1">
    <w:name w:val="ListLabel 24"/>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2" w:customStyle="1">
    <w:name w:val="ListLabel 12"/>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DefaultParagraphFont1" w:customStyle="1">
    <w:name w:val="Default Paragraph Font1"/>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7" w:customStyle="1">
    <w:name w:val="ListLabel 7"/>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TOC3">
    <w:name w:val="toc 3"/>
    <w:next w:val="Normal"/>
    <w:uiPriority w:val="39"/>
    <w:pPr>
      <w:widowControl/>
      <w:suppressAutoHyphens w:val="true"/>
      <w:bidi w:val="0"/>
      <w:spacing w:before="0" w:after="0"/>
      <w:ind w:left="400"/>
      <w:jc w:val="left"/>
    </w:pPr>
    <w:rPr>
      <w:rFonts w:ascii="XO Thames" w:hAnsi="XO Thames" w:eastAsia="Tahoma" w:cs="Droid Sans"/>
      <w:color w:val="000000"/>
      <w:kern w:val="0"/>
      <w:sz w:val="28"/>
      <w:szCs w:val="20"/>
      <w:lang w:val="ru-RU" w:eastAsia="zh-CN" w:bidi="hi-IN"/>
    </w:rPr>
  </w:style>
  <w:style w:type="paragraph" w:styleId="StrongEmphasis1" w:customStyle="1">
    <w:name w:val="Strong Emphasis1"/>
    <w:link w:val="StrongEmphasis"/>
    <w:qFormat/>
    <w:pPr>
      <w:widowControl/>
      <w:suppressAutoHyphens w:val="true"/>
      <w:bidi w:val="0"/>
      <w:spacing w:before="0" w:after="0"/>
      <w:jc w:val="left"/>
    </w:pPr>
    <w:rPr>
      <w:rFonts w:ascii="Calibri" w:hAnsi="Calibri" w:eastAsia="Tahoma" w:cs="Droid Sans"/>
      <w:b/>
      <w:color w:val="000000"/>
      <w:kern w:val="0"/>
      <w:sz w:val="22"/>
      <w:szCs w:val="20"/>
      <w:lang w:val="ru-RU" w:eastAsia="zh-CN" w:bidi="hi-IN"/>
    </w:rPr>
  </w:style>
  <w:style w:type="paragraph" w:styleId="ListLabel26" w:customStyle="1">
    <w:name w:val="ListLabel 26"/>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21" w:customStyle="1">
    <w:name w:val="ListLabel 21"/>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1" w:customStyle="1">
    <w:name w:val="ListLabel 11"/>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6" w:customStyle="1">
    <w:name w:val="ListLabel 16"/>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37" w:customStyle="1">
    <w:name w:val="ListLabel 37"/>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11" w:customStyle="1">
    <w:name w:val="Текст выноски Знак1"/>
    <w:basedOn w:val="DefaultParagraphFont1"/>
    <w:next w:val="DefaultParagraphFont1"/>
    <w:link w:val="Style8"/>
    <w:qFormat/>
    <w:pPr/>
    <w:rPr>
      <w:rFonts w:ascii="Tahoma" w:hAnsi="Tahoma"/>
      <w:sz w:val="16"/>
    </w:rPr>
  </w:style>
  <w:style w:type="paragraph" w:styleId="ListLabel30" w:customStyle="1">
    <w:name w:val="ListLabel 30"/>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22" w:customStyle="1">
    <w:name w:val="ListLabel 22"/>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6" w:customStyle="1">
    <w:name w:val="ListLabel 6"/>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Internetlink" w:customStyle="1">
    <w:name w:val="Internet link"/>
    <w:qFormat/>
    <w:pPr>
      <w:widowControl/>
      <w:suppressAutoHyphens w:val="true"/>
      <w:bidi w:val="0"/>
      <w:spacing w:before="0" w:after="0"/>
      <w:jc w:val="left"/>
    </w:pPr>
    <w:rPr>
      <w:rFonts w:ascii="Calibri" w:hAnsi="Calibri" w:eastAsia="Tahoma" w:cs="Droid Sans"/>
      <w:color w:val="000080"/>
      <w:kern w:val="0"/>
      <w:sz w:val="22"/>
      <w:szCs w:val="20"/>
      <w:u w:val="single" w:color="000080"/>
      <w:lang w:val="ru-RU" w:eastAsia="zh-CN" w:bidi="hi-IN"/>
    </w:rPr>
  </w:style>
  <w:style w:type="paragraph" w:styleId="Footnote1" w:customStyle="1">
    <w:name w:val="Footnote1"/>
    <w:link w:val="Footnote"/>
    <w:qFormat/>
    <w:pPr>
      <w:widowControl/>
      <w:suppressAutoHyphens w:val="true"/>
      <w:bidi w:val="0"/>
      <w:spacing w:before="0" w:after="0"/>
      <w:ind w:firstLine="851"/>
      <w:jc w:val="both"/>
    </w:pPr>
    <w:rPr>
      <w:rFonts w:ascii="XO Thames" w:hAnsi="XO Thames" w:eastAsia="Tahoma" w:cs="Droid Sans"/>
      <w:color w:val="000000"/>
      <w:kern w:val="0"/>
      <w:sz w:val="22"/>
      <w:szCs w:val="20"/>
      <w:lang w:val="ru-RU" w:eastAsia="zh-CN" w:bidi="hi-IN"/>
    </w:rPr>
  </w:style>
  <w:style w:type="paragraph" w:styleId="TOC1">
    <w:name w:val="toc 1"/>
    <w:next w:val="Normal"/>
    <w:uiPriority w:val="39"/>
    <w:pPr>
      <w:widowControl/>
      <w:suppressAutoHyphens w:val="true"/>
      <w:bidi w:val="0"/>
      <w:spacing w:before="0" w:after="0"/>
      <w:jc w:val="left"/>
    </w:pPr>
    <w:rPr>
      <w:rFonts w:ascii="XO Thames" w:hAnsi="XO Thames" w:eastAsia="Tahoma" w:cs="Droid Sans"/>
      <w:b/>
      <w:color w:val="000000"/>
      <w:kern w:val="0"/>
      <w:sz w:val="28"/>
      <w:szCs w:val="20"/>
      <w:lang w:val="ru-RU" w:eastAsia="zh-CN" w:bidi="hi-IN"/>
    </w:rPr>
  </w:style>
  <w:style w:type="paragraph" w:styleId="ListLabel18" w:customStyle="1">
    <w:name w:val="ListLabel 18"/>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HeaderandFooter1" w:customStyle="1">
    <w:name w:val="Header and Footer1"/>
    <w:basedOn w:val="Normal"/>
    <w:next w:val="Normal"/>
    <w:link w:val="HeaderandFooter"/>
    <w:qFormat/>
    <w:pPr/>
    <w:rPr/>
  </w:style>
  <w:style w:type="paragraph" w:styleId="TOC9">
    <w:name w:val="toc 9"/>
    <w:next w:val="Normal"/>
    <w:uiPriority w:val="39"/>
    <w:pPr>
      <w:widowControl/>
      <w:suppressAutoHyphens w:val="true"/>
      <w:bidi w:val="0"/>
      <w:spacing w:before="0" w:after="0"/>
      <w:ind w:left="1600"/>
      <w:jc w:val="left"/>
    </w:pPr>
    <w:rPr>
      <w:rFonts w:ascii="XO Thames" w:hAnsi="XO Thames" w:eastAsia="Tahoma" w:cs="Droid Sans"/>
      <w:color w:val="000000"/>
      <w:kern w:val="0"/>
      <w:sz w:val="28"/>
      <w:szCs w:val="20"/>
      <w:lang w:val="ru-RU" w:eastAsia="zh-CN" w:bidi="hi-IN"/>
    </w:rPr>
  </w:style>
  <w:style w:type="paragraph" w:styleId="HeaderandFooter2" w:customStyle="1">
    <w:name w:val="Header and Footer2"/>
    <w:basedOn w:val="Normal"/>
    <w:qFormat/>
    <w:pPr/>
    <w:rPr/>
  </w:style>
  <w:style w:type="paragraph" w:styleId="HeaderandFooter3" w:customStyle="1">
    <w:name w:val="Header and Footer3"/>
    <w:basedOn w:val="Normal"/>
    <w:qFormat/>
    <w:pPr/>
    <w:rPr/>
  </w:style>
  <w:style w:type="paragraph" w:styleId="HeaderandFooter4">
    <w:name w:val="Header and Footer4"/>
    <w:basedOn w:val="Normal"/>
    <w:qFormat/>
    <w:pPr/>
    <w:rPr/>
  </w:style>
  <w:style w:type="paragraph" w:styleId="HeaderandFooter5">
    <w:name w:val="Header and Footer5"/>
    <w:basedOn w:val="Normal"/>
    <w:qFormat/>
    <w:pPr/>
    <w:rPr/>
  </w:style>
  <w:style w:type="paragraph" w:styleId="HeaderandFooter6">
    <w:name w:val="Header and Footer6"/>
    <w:basedOn w:val="Normal"/>
    <w:qFormat/>
    <w:pPr/>
    <w:rPr/>
  </w:style>
  <w:style w:type="paragraph" w:styleId="Header">
    <w:name w:val="header"/>
    <w:basedOn w:val="HeaderandFooter1"/>
    <w:next w:val="HeaderandFooter1"/>
    <w:pPr/>
    <w:rPr/>
  </w:style>
  <w:style w:type="paragraph" w:styleId="ListLabel47" w:customStyle="1">
    <w:name w:val="ListLabel 47"/>
    <w:qFormat/>
    <w:pPr>
      <w:widowControl/>
      <w:suppressAutoHyphens w:val="true"/>
      <w:bidi w:val="0"/>
      <w:spacing w:before="0" w:after="0"/>
      <w:jc w:val="left"/>
    </w:pPr>
    <w:rPr>
      <w:rFonts w:ascii="Times New Roman" w:hAnsi="Times New Roman" w:eastAsia="Tahoma" w:cs="Droid Sans"/>
      <w:color w:val="000000"/>
      <w:kern w:val="0"/>
      <w:sz w:val="24"/>
      <w:szCs w:val="20"/>
      <w:highlight w:val="white"/>
      <w:u w:val="single"/>
      <w:lang w:val="ru-RU" w:eastAsia="zh-CN" w:bidi="hi-IN"/>
    </w:rPr>
  </w:style>
  <w:style w:type="paragraph" w:styleId="ListLabel8" w:customStyle="1">
    <w:name w:val="ListLabel 8"/>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32" w:customStyle="1">
    <w:name w:val="ListLabel 32"/>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 w:customStyle="1">
    <w:name w:val="ListLabel 4"/>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23" w:customStyle="1">
    <w:name w:val="ListLabel 23"/>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NumberingSymbols" w:customStyle="1">
    <w:name w:val="Numbering Symbols"/>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TOC8">
    <w:name w:val="toc 8"/>
    <w:next w:val="Normal"/>
    <w:uiPriority w:val="39"/>
    <w:pPr>
      <w:widowControl/>
      <w:suppressAutoHyphens w:val="true"/>
      <w:bidi w:val="0"/>
      <w:spacing w:before="0" w:after="0"/>
      <w:ind w:left="1400"/>
      <w:jc w:val="left"/>
    </w:pPr>
    <w:rPr>
      <w:rFonts w:ascii="XO Thames" w:hAnsi="XO Thames" w:eastAsia="Tahoma" w:cs="Droid Sans"/>
      <w:color w:val="000000"/>
      <w:kern w:val="0"/>
      <w:sz w:val="28"/>
      <w:szCs w:val="20"/>
      <w:lang w:val="ru-RU" w:eastAsia="zh-CN" w:bidi="hi-IN"/>
    </w:rPr>
  </w:style>
  <w:style w:type="paragraph" w:styleId="ListLabel20" w:customStyle="1">
    <w:name w:val="ListLabel 20"/>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34" w:customStyle="1">
    <w:name w:val="ListLabel 34"/>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1" w:customStyle="1">
    <w:name w:val="ListLabel 41"/>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6" w:customStyle="1">
    <w:name w:val="ListLabel 46"/>
    <w:qFormat/>
    <w:pPr>
      <w:widowControl/>
      <w:suppressAutoHyphens w:val="true"/>
      <w:bidi w:val="0"/>
      <w:spacing w:before="0" w:after="0"/>
      <w:jc w:val="left"/>
    </w:pPr>
    <w:rPr>
      <w:rFonts w:ascii="Times New Roman" w:hAnsi="Times New Roman" w:eastAsia="Tahoma" w:cs="Droid Sans"/>
      <w:color w:val="000000"/>
      <w:kern w:val="0"/>
      <w:sz w:val="24"/>
      <w:szCs w:val="20"/>
      <w:highlight w:val="white"/>
      <w:lang w:val="ru-RU" w:eastAsia="zh-CN" w:bidi="hi-IN"/>
    </w:rPr>
  </w:style>
  <w:style w:type="paragraph" w:styleId="ListLabel3" w:customStyle="1">
    <w:name w:val="ListLabel 3"/>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35" w:customStyle="1">
    <w:name w:val="ListLabel 35"/>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Footer">
    <w:name w:val="footer"/>
    <w:basedOn w:val="HeaderandFooter1"/>
    <w:next w:val="HeaderandFooter1"/>
    <w:pPr/>
    <w:rPr/>
  </w:style>
  <w:style w:type="paragraph" w:styleId="TOC5">
    <w:name w:val="toc 5"/>
    <w:next w:val="Normal"/>
    <w:uiPriority w:val="39"/>
    <w:pPr>
      <w:widowControl/>
      <w:suppressAutoHyphens w:val="true"/>
      <w:bidi w:val="0"/>
      <w:spacing w:before="0" w:after="0"/>
      <w:ind w:left="800"/>
      <w:jc w:val="left"/>
    </w:pPr>
    <w:rPr>
      <w:rFonts w:ascii="XO Thames" w:hAnsi="XO Thames" w:eastAsia="Tahoma" w:cs="Droid Sans"/>
      <w:color w:val="000000"/>
      <w:kern w:val="0"/>
      <w:sz w:val="28"/>
      <w:szCs w:val="20"/>
      <w:lang w:val="ru-RU" w:eastAsia="zh-CN" w:bidi="hi-IN"/>
    </w:rPr>
  </w:style>
  <w:style w:type="paragraph" w:styleId="ListLabel36" w:customStyle="1">
    <w:name w:val="ListLabel 36"/>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27" w:customStyle="1">
    <w:name w:val="ListLabel 27"/>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43" w:customStyle="1">
    <w:name w:val="ListLabel 43"/>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3" w:customStyle="1">
    <w:name w:val="ListLabel 13"/>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ListLabel15" w:customStyle="1">
    <w:name w:val="ListLabel 15"/>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Subtitle">
    <w:name w:val="Subtitle"/>
    <w:basedOn w:val="normal11"/>
    <w:next w:val="normal11"/>
    <w:uiPriority w:val="11"/>
    <w:qFormat/>
    <w:pPr>
      <w:keepNext w:val="true"/>
      <w:keepLines/>
      <w:spacing w:before="360" w:after="80"/>
    </w:pPr>
    <w:rPr>
      <w:rFonts w:ascii="Georgia" w:hAnsi="Georgia"/>
      <w:i/>
      <w:color w:val="666666"/>
      <w:sz w:val="48"/>
    </w:rPr>
  </w:style>
  <w:style w:type="paragraph" w:styleId="ListLabel25" w:customStyle="1">
    <w:name w:val="ListLabel 25"/>
    <w:qFormat/>
    <w:pPr>
      <w:widowControl/>
      <w:suppressAutoHyphens w:val="true"/>
      <w:bidi w:val="0"/>
      <w:spacing w:before="0" w:after="0"/>
      <w:jc w:val="left"/>
    </w:pPr>
    <w:rPr>
      <w:rFonts w:ascii="Calibri" w:hAnsi="Calibri" w:eastAsia="Tahoma" w:cs="Droid Sans"/>
      <w:color w:val="000000"/>
      <w:kern w:val="0"/>
      <w:sz w:val="22"/>
      <w:szCs w:val="20"/>
      <w:lang w:val="ru-RU" w:eastAsia="zh-CN" w:bidi="hi-IN"/>
    </w:rPr>
  </w:style>
  <w:style w:type="paragraph" w:styleId="Title">
    <w:name w:val="Title"/>
    <w:basedOn w:val="normal11"/>
    <w:next w:val="normal11"/>
    <w:uiPriority w:val="10"/>
    <w:qFormat/>
    <w:pPr>
      <w:keepNext w:val="true"/>
      <w:keepLines/>
      <w:spacing w:before="480" w:after="120"/>
    </w:pPr>
    <w:rPr>
      <w:b/>
      <w:sz w:val="72"/>
    </w:rPr>
  </w:style>
  <w:style w:type="paragraph" w:styleId="ListParagraph">
    <w:name w:val="List Paragraph"/>
    <w:basedOn w:val="Normal"/>
    <w:qFormat/>
    <w:pPr>
      <w:spacing w:before="0" w:after="160"/>
      <w:ind w:left="720"/>
      <w:contextualSpacing/>
    </w:pPr>
    <w:rPr/>
  </w:style>
  <w:style w:type="numbering" w:styleId="Style14"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pitchFamily="0" charset="1"/>
        <a:ea typeface=""/>
        <a:cs typeface=""/>
      </a:majorFont>
      <a:minorFont>
        <a:latin typeface="XO Thames" pitchFamily="0" charset="1"/>
        <a:ea typeface=""/>
        <a:cs typeface=""/>
      </a:minorFont>
    </a:fontScheme>
    <a:fmtScheme>
      <a:fillStyleLst>
        <a:solidFill>
          <a:schemeClr val="phClr"/>
        </a:solidFill>
        <a:gradFill>
          <a:gsLst>
            <a:gs pos="0">
              <a:schemeClr val="phClr">
                <a:tint val="50000"/>
              </a:schemeClr>
            </a:gs>
            <a:gs pos="35000">
              <a:schemeClr val="phClr">
                <a:tint val="63000"/>
              </a:schemeClr>
            </a:gs>
            <a:gs pos="100000">
              <a:schemeClr val="phClr">
                <a:tint val="85000"/>
              </a:schemeClr>
            </a:gs>
          </a:gsLst>
          <a:tileRect l="0" t="0" r="0" b="0"/>
        </a:gradFill>
        <a:gradFill>
          <a:gsLst>
            <a:gs pos="0">
              <a:schemeClr val="phClr">
                <a:shade val="51000"/>
              </a:schemeClr>
            </a:gs>
            <a:gs pos="80000">
              <a:schemeClr val="phClr">
                <a:shade val="93000"/>
              </a:schemeClr>
            </a:gs>
            <a:gs pos="100000">
              <a:schemeClr val="phClr">
                <a:shade val="94000"/>
              </a:schemeClr>
            </a:gs>
          </a:gsLst>
          <a:tileRect l="0" t="0" r="0" b="0"/>
        </a:gradFill>
      </a:fillStyleLst>
      <a:lnStyleLst>
        <a:ln w="6350">
          <a:prstDash val="solid"/>
        </a:ln>
        <a:ln w="12700">
          <a:prstDash val="solid"/>
        </a:ln>
        <a:ln w="19050">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60000"/>
              </a:schemeClr>
            </a:gs>
            <a:gs pos="40000">
              <a:schemeClr val="phClr">
                <a:tint val="55000"/>
                <a:shade val="99000"/>
              </a:schemeClr>
            </a:gs>
            <a:gs pos="100000">
              <a:schemeClr val="phClr">
                <a:shade val="20000"/>
              </a:schemeClr>
            </a:gs>
          </a:gsLst>
          <a:tileRect l="0" t="0" r="0" b="0"/>
        </a:gradFill>
        <a:gradFill>
          <a:gsLst>
            <a:gs pos="0">
              <a:schemeClr val="phClr">
                <a:tint val="20000"/>
              </a:schemeClr>
            </a:gs>
            <a:gs pos="100000">
              <a:schemeClr val="phClr">
                <a:shade val="30000"/>
              </a:schemeClr>
            </a:gs>
          </a:gsLst>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575</TotalTime>
  <Application>LibreOffice/24.8.4.1$Linux_X86_64 LibreOffice_project/480$Build-1</Application>
  <AppVersion>15.0000</AppVersion>
  <Pages>33</Pages>
  <Words>10159</Words>
  <Characters>72325</Characters>
  <CharactersWithSpaces>81513</CharactersWithSpaces>
  <Paragraphs>1025</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2025-08-07T04:38:00Z</dcterms:created>
  <dc:creator/>
  <dc:description/>
  <dc:language>ru-RU</dc:language>
  <cp:lastModifiedBy/>
  <dcterms:modified xsi:type="dcterms:W3CDTF">2026-08-13T13:53:05Z</dcterms:modified>
  <cp:revision>69</cp:revision>
  <dc:subject/>
  <dc:title/>
</cp:coreProperties>
</file>

<file path=docProps/custom.xml><?xml version="1.0" encoding="utf-8"?>
<Properties xmlns="http://schemas.openxmlformats.org/officeDocument/2006/custom-properties" xmlns:vt="http://schemas.openxmlformats.org/officeDocument/2006/docPropsVTypes"/>
</file>